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0CD83" w14:textId="45C80982" w:rsidR="005D4025" w:rsidRPr="005D4025" w:rsidRDefault="005D4025" w:rsidP="005D4025">
      <w:pPr>
        <w:spacing w:before="240" w:after="120" w:line="264" w:lineRule="auto"/>
        <w:outlineLvl w:val="1"/>
        <w:rPr>
          <w:rFonts w:ascii="Arial Narrow" w:eastAsia="Arial" w:hAnsi="Arial Narrow" w:cs="Arial"/>
          <w:b/>
        </w:rPr>
      </w:pPr>
      <w:r w:rsidRPr="005D4025">
        <w:rPr>
          <w:rFonts w:ascii="Arial Narrow" w:eastAsia="Arial" w:hAnsi="Arial Narrow" w:cs="Arial"/>
          <w:b/>
        </w:rPr>
        <w:t>Australian Code for the Transport of Dangerous Goods by Road &amp; Rail: key changes between edition 7.</w:t>
      </w:r>
      <w:r w:rsidR="00D36F6F">
        <w:rPr>
          <w:rFonts w:ascii="Arial Narrow" w:eastAsia="Arial" w:hAnsi="Arial Narrow" w:cs="Arial"/>
          <w:b/>
        </w:rPr>
        <w:t>7</w:t>
      </w:r>
      <w:r w:rsidRPr="005D4025">
        <w:rPr>
          <w:rFonts w:ascii="Arial Narrow" w:eastAsia="Arial" w:hAnsi="Arial Narrow" w:cs="Arial"/>
          <w:b/>
        </w:rPr>
        <w:t xml:space="preserve"> and edition 7.</w:t>
      </w:r>
      <w:r w:rsidR="00D36F6F">
        <w:rPr>
          <w:rFonts w:ascii="Arial Narrow" w:eastAsia="Arial" w:hAnsi="Arial Narrow" w:cs="Arial"/>
          <w:b/>
        </w:rPr>
        <w:t>8</w:t>
      </w:r>
    </w:p>
    <w:p w14:paraId="44F8FC99" w14:textId="725CAD21" w:rsidR="005D4025" w:rsidRPr="005D4025" w:rsidRDefault="005D4025" w:rsidP="005D4025">
      <w:pPr>
        <w:spacing w:before="80" w:after="80" w:line="240" w:lineRule="atLeast"/>
        <w:rPr>
          <w:rFonts w:ascii="Arial Narrow" w:eastAsia="Arial" w:hAnsi="Arial Narrow" w:cs="Arial"/>
        </w:rPr>
      </w:pPr>
      <w:r w:rsidRPr="005D4025">
        <w:rPr>
          <w:rFonts w:ascii="Arial Narrow" w:eastAsia="Arial" w:hAnsi="Arial Narrow" w:cs="Arial"/>
        </w:rPr>
        <w:t>Edition 7.</w:t>
      </w:r>
      <w:r w:rsidR="00D36F6F">
        <w:rPr>
          <w:rFonts w:ascii="Arial Narrow" w:eastAsia="Arial" w:hAnsi="Arial Narrow" w:cs="Arial"/>
        </w:rPr>
        <w:t>8</w:t>
      </w:r>
      <w:r w:rsidRPr="005D4025">
        <w:rPr>
          <w:rFonts w:ascii="Arial Narrow" w:eastAsia="Arial" w:hAnsi="Arial Narrow" w:cs="Arial"/>
        </w:rPr>
        <w:t xml:space="preserve"> of the </w:t>
      </w:r>
      <w:r w:rsidRPr="005D4025">
        <w:rPr>
          <w:rFonts w:ascii="Arial Narrow" w:eastAsia="Arial" w:hAnsi="Arial Narrow" w:cs="Arial"/>
          <w:i/>
        </w:rPr>
        <w:t>Australian Code for the Transport of Dangerous Goods by Road &amp; Rail</w:t>
      </w:r>
      <w:r w:rsidRPr="005D4025">
        <w:rPr>
          <w:rFonts w:ascii="Arial Narrow" w:eastAsia="Arial" w:hAnsi="Arial Narrow" w:cs="Arial"/>
        </w:rPr>
        <w:t xml:space="preserve"> (the Code) includes UN and Australian based changes.</w:t>
      </w:r>
    </w:p>
    <w:p w14:paraId="1EFF438A" w14:textId="1195AD28" w:rsidR="005D4025" w:rsidRPr="005D4025" w:rsidRDefault="005D4025" w:rsidP="005D4025">
      <w:pPr>
        <w:spacing w:before="80" w:after="80" w:line="240" w:lineRule="atLeast"/>
        <w:rPr>
          <w:rFonts w:ascii="Arial Narrow" w:eastAsia="Arial" w:hAnsi="Arial Narrow" w:cs="Arial"/>
        </w:rPr>
      </w:pPr>
      <w:r w:rsidRPr="005D4025">
        <w:rPr>
          <w:rFonts w:ascii="Arial Narrow" w:eastAsia="Arial" w:hAnsi="Arial Narrow" w:cs="Arial"/>
        </w:rPr>
        <w:t>Below is a summary of the substantive changes from edition 7.</w:t>
      </w:r>
      <w:r w:rsidR="009460FE">
        <w:rPr>
          <w:rFonts w:ascii="Arial Narrow" w:eastAsia="Arial" w:hAnsi="Arial Narrow" w:cs="Arial"/>
        </w:rPr>
        <w:t>7</w:t>
      </w:r>
      <w:r w:rsidRPr="005D4025">
        <w:rPr>
          <w:rFonts w:ascii="Arial Narrow" w:eastAsia="Arial" w:hAnsi="Arial Narrow" w:cs="Arial"/>
        </w:rPr>
        <w:t xml:space="preserve"> of the Code along with a high level overview of the drivers for the change and expected impacts. </w:t>
      </w:r>
    </w:p>
    <w:p w14:paraId="41CEC353" w14:textId="0C11C99D" w:rsidR="005D4025" w:rsidRDefault="005D4025" w:rsidP="005D4025">
      <w:pPr>
        <w:spacing w:after="0" w:line="240" w:lineRule="auto"/>
        <w:rPr>
          <w:rFonts w:ascii="Arial Narrow" w:eastAsia="Cambria" w:hAnsi="Arial Narrow" w:cs="Times New Roman"/>
          <w:b/>
        </w:rPr>
      </w:pPr>
    </w:p>
    <w:p w14:paraId="21703EC4" w14:textId="77777777" w:rsidR="00C27EF1" w:rsidRPr="005D4025" w:rsidRDefault="00C27EF1" w:rsidP="005D4025">
      <w:pPr>
        <w:spacing w:after="0" w:line="240" w:lineRule="auto"/>
        <w:rPr>
          <w:rFonts w:ascii="Arial Narrow" w:eastAsia="Cambria" w:hAnsi="Arial Narrow" w:cs="Times New Roman"/>
          <w:b/>
        </w:rPr>
      </w:pPr>
    </w:p>
    <w:p w14:paraId="342817DA" w14:textId="0A4174CC" w:rsidR="005D4025" w:rsidRPr="005D4025" w:rsidRDefault="00C27EF1" w:rsidP="005D4025">
      <w:pPr>
        <w:pBdr>
          <w:bottom w:val="single" w:sz="2" w:space="6" w:color="10CFC9"/>
        </w:pBdr>
        <w:spacing w:before="220" w:after="220" w:line="264" w:lineRule="auto"/>
        <w:rPr>
          <w:rFonts w:ascii="Arial Narrow" w:eastAsia="Cambria" w:hAnsi="Arial Narrow" w:cs="Times New Roman"/>
          <w:b/>
        </w:rPr>
      </w:pPr>
      <w:bookmarkStart w:id="0" w:name="_Hlk23431023"/>
      <w:r>
        <w:rPr>
          <w:rFonts w:ascii="Arial Narrow" w:eastAsia="Cambria" w:hAnsi="Arial Narrow" w:cs="Times New Roman"/>
          <w:b/>
        </w:rPr>
        <w:t>GENERAL - Throughout</w:t>
      </w:r>
    </w:p>
    <w:bookmarkEnd w:id="0"/>
    <w:p w14:paraId="507DD846" w14:textId="08ADF41C" w:rsidR="005A3729" w:rsidRDefault="00FE1398" w:rsidP="00FE1398">
      <w:pPr>
        <w:pStyle w:val="ListParagraph"/>
        <w:numPr>
          <w:ilvl w:val="0"/>
          <w:numId w:val="4"/>
        </w:numPr>
        <w:rPr>
          <w:rFonts w:ascii="Arial Narrow" w:hAnsi="Arial Narrow"/>
        </w:rPr>
      </w:pPr>
      <w:r>
        <w:rPr>
          <w:rFonts w:ascii="Arial Narrow" w:hAnsi="Arial Narrow"/>
        </w:rPr>
        <w:t>Inclusion of UN 2</w:t>
      </w:r>
      <w:r w:rsidR="00D36F6F">
        <w:rPr>
          <w:rFonts w:ascii="Arial Narrow" w:hAnsi="Arial Narrow"/>
        </w:rPr>
        <w:t>2</w:t>
      </w:r>
      <w:r>
        <w:rPr>
          <w:rFonts w:ascii="Arial Narrow" w:hAnsi="Arial Narrow"/>
        </w:rPr>
        <w:t xml:space="preserve"> amendm</w:t>
      </w:r>
      <w:r w:rsidR="005A3729">
        <w:rPr>
          <w:rFonts w:ascii="Arial Narrow" w:hAnsi="Arial Narrow"/>
        </w:rPr>
        <w:t>ents</w:t>
      </w:r>
      <w:r w:rsidR="00D36F6F">
        <w:rPr>
          <w:rFonts w:ascii="Arial Narrow" w:hAnsi="Arial Narrow"/>
        </w:rPr>
        <w:t>, including new Chapter 6.9 for fibre-reinforced plastics portable tanks.</w:t>
      </w:r>
    </w:p>
    <w:p w14:paraId="2D1A6390" w14:textId="12A29646" w:rsidR="00D36F6F" w:rsidRDefault="00D36F6F" w:rsidP="00FE1398">
      <w:pPr>
        <w:pStyle w:val="ListParagraph"/>
        <w:numPr>
          <w:ilvl w:val="0"/>
          <w:numId w:val="4"/>
        </w:numPr>
        <w:rPr>
          <w:rFonts w:ascii="Arial Narrow" w:hAnsi="Arial Narrow"/>
        </w:rPr>
      </w:pPr>
      <w:r>
        <w:rPr>
          <w:rFonts w:ascii="Arial Narrow" w:hAnsi="Arial Narrow"/>
        </w:rPr>
        <w:t>Inclusion of UN 21 Corrigendum</w:t>
      </w:r>
    </w:p>
    <w:p w14:paraId="155250F8" w14:textId="7E79AC05" w:rsidR="005A3729" w:rsidRDefault="005A3729" w:rsidP="00FE1398">
      <w:pPr>
        <w:pStyle w:val="ListParagraph"/>
        <w:numPr>
          <w:ilvl w:val="0"/>
          <w:numId w:val="4"/>
        </w:numPr>
        <w:rPr>
          <w:rFonts w:ascii="Arial Narrow" w:hAnsi="Arial Narrow"/>
        </w:rPr>
      </w:pPr>
      <w:r>
        <w:rPr>
          <w:rFonts w:ascii="Arial Narrow" w:hAnsi="Arial Narrow"/>
        </w:rPr>
        <w:t xml:space="preserve">Extensive </w:t>
      </w:r>
      <w:r w:rsidR="009D7911" w:rsidRPr="00FE1398">
        <w:rPr>
          <w:rFonts w:ascii="Arial Narrow" w:hAnsi="Arial Narrow"/>
        </w:rPr>
        <w:t xml:space="preserve">minor amendments aimed at correcting typographical and </w:t>
      </w:r>
      <w:r w:rsidR="00D36F6F">
        <w:rPr>
          <w:rFonts w:ascii="Arial Narrow" w:hAnsi="Arial Narrow"/>
        </w:rPr>
        <w:t>translation errors</w:t>
      </w:r>
      <w:r w:rsidR="009D7911" w:rsidRPr="00FE1398">
        <w:rPr>
          <w:rFonts w:ascii="Arial Narrow" w:hAnsi="Arial Narrow"/>
        </w:rPr>
        <w:t xml:space="preserve"> that have </w:t>
      </w:r>
      <w:r w:rsidR="00D36F6F">
        <w:rPr>
          <w:rFonts w:ascii="Arial Narrow" w:hAnsi="Arial Narrow"/>
        </w:rPr>
        <w:t>occurred when incorporating past UN amendments</w:t>
      </w:r>
    </w:p>
    <w:p w14:paraId="54C61A69" w14:textId="77777777" w:rsidR="00D36F6F" w:rsidRDefault="00D36F6F" w:rsidP="00FE1398">
      <w:pPr>
        <w:pStyle w:val="ListParagraph"/>
        <w:numPr>
          <w:ilvl w:val="0"/>
          <w:numId w:val="4"/>
        </w:numPr>
        <w:rPr>
          <w:rFonts w:ascii="Arial Narrow" w:hAnsi="Arial Narrow"/>
        </w:rPr>
      </w:pPr>
      <w:r>
        <w:rPr>
          <w:rFonts w:ascii="Arial Narrow" w:hAnsi="Arial Narrow"/>
        </w:rPr>
        <w:t>Update of terminology, particularly in relation to pressure vessels and their components.</w:t>
      </w:r>
    </w:p>
    <w:p w14:paraId="3B8A296E" w14:textId="49657854" w:rsidR="009D7911" w:rsidRPr="00FE1398" w:rsidRDefault="00007B72" w:rsidP="00FE1398">
      <w:pPr>
        <w:pStyle w:val="ListParagraph"/>
        <w:numPr>
          <w:ilvl w:val="0"/>
          <w:numId w:val="4"/>
        </w:numPr>
        <w:rPr>
          <w:rFonts w:ascii="Arial Narrow" w:hAnsi="Arial Narrow"/>
        </w:rPr>
      </w:pPr>
      <w:r>
        <w:rPr>
          <w:rFonts w:ascii="Arial Narrow" w:hAnsi="Arial Narrow"/>
        </w:rPr>
        <w:t>Update of references, definitions, etc., as relevant</w:t>
      </w:r>
      <w:r w:rsidR="009D7911" w:rsidRPr="00FE1398">
        <w:rPr>
          <w:rFonts w:ascii="Arial Narrow" w:hAnsi="Arial Narrow"/>
        </w:rPr>
        <w:t xml:space="preserve">  </w:t>
      </w:r>
    </w:p>
    <w:p w14:paraId="04E7AD18" w14:textId="77777777" w:rsidR="00E26D6D" w:rsidRDefault="00E26D6D" w:rsidP="00E26D6D">
      <w:pPr>
        <w:pBdr>
          <w:bottom w:val="single" w:sz="2" w:space="6" w:color="10CFC9"/>
        </w:pBdr>
        <w:spacing w:before="220" w:after="220" w:line="264" w:lineRule="auto"/>
        <w:rPr>
          <w:rFonts w:ascii="Arial Narrow" w:eastAsia="Cambria" w:hAnsi="Arial Narrow" w:cs="Times New Roman"/>
          <w:b/>
        </w:rPr>
      </w:pPr>
    </w:p>
    <w:p w14:paraId="46E8178F" w14:textId="0D7789A7" w:rsidR="00E26D6D" w:rsidRPr="005D4025" w:rsidRDefault="00F4135F" w:rsidP="00E26D6D">
      <w:pPr>
        <w:pBdr>
          <w:bottom w:val="single" w:sz="2" w:space="6" w:color="10CFC9"/>
        </w:pBdr>
        <w:spacing w:before="220" w:after="220" w:line="264" w:lineRule="auto"/>
        <w:rPr>
          <w:rFonts w:ascii="Arial Narrow" w:eastAsia="Cambria" w:hAnsi="Arial Narrow" w:cs="Times New Roman"/>
          <w:b/>
        </w:rPr>
      </w:pPr>
      <w:r>
        <w:rPr>
          <w:rFonts w:ascii="Arial Narrow" w:eastAsia="Cambria" w:hAnsi="Arial Narrow" w:cs="Times New Roman"/>
          <w:b/>
        </w:rPr>
        <w:t>DEFINITIONS</w:t>
      </w:r>
      <w:r w:rsidR="00E26D6D" w:rsidRPr="005D4025">
        <w:rPr>
          <w:rFonts w:ascii="Arial Narrow" w:eastAsia="Cambria" w:hAnsi="Arial Narrow" w:cs="Times New Roman"/>
          <w:b/>
        </w:rPr>
        <w:t xml:space="preserve"> – </w:t>
      </w:r>
      <w:r w:rsidR="00E26D6D">
        <w:rPr>
          <w:rFonts w:ascii="Arial Narrow" w:eastAsia="Cambria" w:hAnsi="Arial Narrow" w:cs="Times New Roman"/>
          <w:b/>
        </w:rPr>
        <w:t>1.2</w:t>
      </w:r>
      <w:r>
        <w:rPr>
          <w:rFonts w:ascii="Arial Narrow" w:eastAsia="Cambria" w:hAnsi="Arial Narrow" w:cs="Times New Roman"/>
          <w:b/>
        </w:rPr>
        <w:t>.1</w:t>
      </w:r>
    </w:p>
    <w:p w14:paraId="50DC985F" w14:textId="77777777" w:rsidR="00E26D6D" w:rsidRDefault="00E26D6D" w:rsidP="00E26D6D">
      <w:pPr>
        <w:spacing w:after="120"/>
        <w:rPr>
          <w:rFonts w:ascii="Arial Narrow" w:hAnsi="Arial Narrow"/>
          <w:b/>
        </w:rPr>
      </w:pPr>
      <w:r>
        <w:rPr>
          <w:rFonts w:ascii="Arial Narrow" w:hAnsi="Arial Narrow"/>
          <w:b/>
        </w:rPr>
        <w:t>Problem</w:t>
      </w:r>
    </w:p>
    <w:p w14:paraId="1A36551D" w14:textId="0C10B401" w:rsidR="00EE28BB" w:rsidRDefault="00E26D6D" w:rsidP="009460FE">
      <w:pPr>
        <w:spacing w:before="220" w:after="220" w:line="264" w:lineRule="auto"/>
        <w:rPr>
          <w:rFonts w:ascii="Arial Narrow" w:hAnsi="Arial Narrow"/>
        </w:rPr>
      </w:pPr>
      <w:r w:rsidRPr="00E26D6D">
        <w:rPr>
          <w:rFonts w:ascii="Arial Narrow" w:hAnsi="Arial Narrow"/>
        </w:rPr>
        <w:t xml:space="preserve">The MSI defines terms that are used for the purpose of requirements relating to the transport of dangerous goods.  Several of these terms are fundamental to the requirements in both the MSI and the Australian Code for the transport of dangerous goods by road and rail (ADG Code).  The primary requirements and principles in the ADG Code are a </w:t>
      </w:r>
      <w:r w:rsidR="001445BA">
        <w:rPr>
          <w:rFonts w:ascii="Arial Narrow" w:hAnsi="Arial Narrow"/>
        </w:rPr>
        <w:t>reproduction</w:t>
      </w:r>
      <w:r w:rsidRPr="00E26D6D">
        <w:rPr>
          <w:rFonts w:ascii="Arial Narrow" w:hAnsi="Arial Narrow"/>
        </w:rPr>
        <w:t xml:space="preserve"> of international requirements, as specified in the U</w:t>
      </w:r>
      <w:r>
        <w:rPr>
          <w:rFonts w:ascii="Arial Narrow" w:hAnsi="Arial Narrow"/>
        </w:rPr>
        <w:t xml:space="preserve">nited </w:t>
      </w:r>
      <w:r w:rsidRPr="00E26D6D">
        <w:rPr>
          <w:rFonts w:ascii="Arial Narrow" w:hAnsi="Arial Narrow"/>
        </w:rPr>
        <w:t>N</w:t>
      </w:r>
      <w:r>
        <w:rPr>
          <w:rFonts w:ascii="Arial Narrow" w:hAnsi="Arial Narrow"/>
        </w:rPr>
        <w:t>ational</w:t>
      </w:r>
      <w:r w:rsidRPr="00E26D6D">
        <w:rPr>
          <w:rFonts w:ascii="Arial Narrow" w:hAnsi="Arial Narrow"/>
        </w:rPr>
        <w:t xml:space="preserve"> M</w:t>
      </w:r>
      <w:r>
        <w:rPr>
          <w:rFonts w:ascii="Arial Narrow" w:hAnsi="Arial Narrow"/>
        </w:rPr>
        <w:t xml:space="preserve">odel </w:t>
      </w:r>
      <w:r w:rsidRPr="00E26D6D">
        <w:rPr>
          <w:rFonts w:ascii="Arial Narrow" w:hAnsi="Arial Narrow"/>
        </w:rPr>
        <w:t>R</w:t>
      </w:r>
      <w:r>
        <w:rPr>
          <w:rFonts w:ascii="Arial Narrow" w:hAnsi="Arial Narrow"/>
        </w:rPr>
        <w:t>egulations (UN MR)</w:t>
      </w:r>
      <w:r w:rsidRPr="00E26D6D">
        <w:rPr>
          <w:rFonts w:ascii="Arial Narrow" w:hAnsi="Arial Narrow"/>
        </w:rPr>
        <w:t xml:space="preserve">.  To ensure the requirements in the </w:t>
      </w:r>
      <w:r w:rsidR="004074FB">
        <w:rPr>
          <w:rFonts w:ascii="Arial Narrow" w:hAnsi="Arial Narrow"/>
        </w:rPr>
        <w:t xml:space="preserve">ADG </w:t>
      </w:r>
      <w:r w:rsidRPr="00E26D6D">
        <w:rPr>
          <w:rFonts w:ascii="Arial Narrow" w:hAnsi="Arial Narrow"/>
        </w:rPr>
        <w:t>Code remain aligned to international requirements</w:t>
      </w:r>
      <w:r w:rsidR="00F6447C">
        <w:rPr>
          <w:rFonts w:ascii="Arial Narrow" w:hAnsi="Arial Narrow"/>
        </w:rPr>
        <w:t xml:space="preserve"> and can be applied as intended</w:t>
      </w:r>
      <w:r w:rsidRPr="00E26D6D">
        <w:rPr>
          <w:rFonts w:ascii="Arial Narrow" w:hAnsi="Arial Narrow"/>
        </w:rPr>
        <w:t xml:space="preserve">, it is essential that the terms </w:t>
      </w:r>
      <w:r w:rsidR="00F6447C">
        <w:rPr>
          <w:rFonts w:ascii="Arial Narrow" w:hAnsi="Arial Narrow"/>
        </w:rPr>
        <w:t>taken from the</w:t>
      </w:r>
      <w:r w:rsidRPr="00E26D6D">
        <w:rPr>
          <w:rFonts w:ascii="Arial Narrow" w:hAnsi="Arial Narrow"/>
        </w:rPr>
        <w:t xml:space="preserve"> UN</w:t>
      </w:r>
      <w:r w:rsidR="001445BA">
        <w:rPr>
          <w:rFonts w:ascii="Arial Narrow" w:hAnsi="Arial Narrow"/>
        </w:rPr>
        <w:t xml:space="preserve"> </w:t>
      </w:r>
      <w:r w:rsidRPr="00E26D6D">
        <w:rPr>
          <w:rFonts w:ascii="Arial Narrow" w:hAnsi="Arial Narrow"/>
        </w:rPr>
        <w:t>MR</w:t>
      </w:r>
      <w:r w:rsidR="00F6447C">
        <w:rPr>
          <w:rFonts w:ascii="Arial Narrow" w:hAnsi="Arial Narrow"/>
        </w:rPr>
        <w:t xml:space="preserve"> remain as written in the UN MR</w:t>
      </w:r>
      <w:r w:rsidRPr="00E26D6D">
        <w:rPr>
          <w:rFonts w:ascii="Arial Narrow" w:hAnsi="Arial Narrow"/>
        </w:rPr>
        <w:t xml:space="preserve">. </w:t>
      </w:r>
      <w:r w:rsidR="001445BA">
        <w:rPr>
          <w:rFonts w:ascii="Arial Narrow" w:hAnsi="Arial Narrow"/>
        </w:rPr>
        <w:t xml:space="preserve"> There are several instances where the ADG Code defines a UN</w:t>
      </w:r>
      <w:r w:rsidR="009460FE">
        <w:rPr>
          <w:rFonts w:ascii="Arial Narrow" w:hAnsi="Arial Narrow"/>
        </w:rPr>
        <w:t xml:space="preserve"> </w:t>
      </w:r>
      <w:r w:rsidR="001445BA">
        <w:rPr>
          <w:rFonts w:ascii="Arial Narrow" w:hAnsi="Arial Narrow"/>
        </w:rPr>
        <w:t xml:space="preserve">MR derived term </w:t>
      </w:r>
      <w:r w:rsidR="009460FE">
        <w:rPr>
          <w:rFonts w:ascii="Arial Narrow" w:hAnsi="Arial Narrow"/>
        </w:rPr>
        <w:t>differently,</w:t>
      </w:r>
      <w:r w:rsidR="001445BA">
        <w:rPr>
          <w:rFonts w:ascii="Arial Narrow" w:hAnsi="Arial Narrow"/>
        </w:rPr>
        <w:t xml:space="preserve"> but no action ha</w:t>
      </w:r>
      <w:r w:rsidR="004074FB">
        <w:rPr>
          <w:rFonts w:ascii="Arial Narrow" w:hAnsi="Arial Narrow"/>
        </w:rPr>
        <w:t>s</w:t>
      </w:r>
      <w:r w:rsidR="001445BA">
        <w:rPr>
          <w:rFonts w:ascii="Arial Narrow" w:hAnsi="Arial Narrow"/>
        </w:rPr>
        <w:t xml:space="preserve"> been taken to identify or address any flow on implications to the requirements.</w:t>
      </w:r>
      <w:r w:rsidRPr="00E26D6D">
        <w:rPr>
          <w:rFonts w:ascii="Arial Narrow" w:hAnsi="Arial Narrow"/>
        </w:rPr>
        <w:t xml:space="preserve">    </w:t>
      </w:r>
    </w:p>
    <w:p w14:paraId="686EBEA1" w14:textId="152819BA" w:rsidR="00F6447C" w:rsidRDefault="00F6447C" w:rsidP="009460FE">
      <w:pPr>
        <w:spacing w:before="220" w:after="220" w:line="264" w:lineRule="auto"/>
        <w:rPr>
          <w:rFonts w:ascii="Arial Narrow" w:hAnsi="Arial Narrow"/>
        </w:rPr>
      </w:pPr>
      <w:r>
        <w:rPr>
          <w:rFonts w:ascii="Arial Narrow" w:hAnsi="Arial Narrow"/>
        </w:rPr>
        <w:t xml:space="preserve">Additionally, the </w:t>
      </w:r>
      <w:r w:rsidR="001445BA">
        <w:rPr>
          <w:rFonts w:ascii="Arial Narrow" w:hAnsi="Arial Narrow"/>
        </w:rPr>
        <w:t xml:space="preserve">original policy was to list all terms in the </w:t>
      </w:r>
      <w:r>
        <w:rPr>
          <w:rFonts w:ascii="Arial Narrow" w:hAnsi="Arial Narrow"/>
        </w:rPr>
        <w:t xml:space="preserve">ADG Code, not defined in the MSI, as a single alphabetical list in clause 1.2.1.1 of the Code, while all MSI terms </w:t>
      </w:r>
      <w:r w:rsidR="001445BA">
        <w:rPr>
          <w:rFonts w:ascii="Arial Narrow" w:hAnsi="Arial Narrow"/>
        </w:rPr>
        <w:t>would</w:t>
      </w:r>
      <w:r>
        <w:rPr>
          <w:rFonts w:ascii="Arial Narrow" w:hAnsi="Arial Narrow"/>
        </w:rPr>
        <w:t xml:space="preserve"> each </w:t>
      </w:r>
      <w:r w:rsidR="001445BA">
        <w:rPr>
          <w:rFonts w:ascii="Arial Narrow" w:hAnsi="Arial Narrow"/>
        </w:rPr>
        <w:t xml:space="preserve">be </w:t>
      </w:r>
      <w:r w:rsidR="009460FE">
        <w:rPr>
          <w:rFonts w:ascii="Arial Narrow" w:hAnsi="Arial Narrow"/>
        </w:rPr>
        <w:t xml:space="preserve">listed separately in the ADG Code and </w:t>
      </w:r>
      <w:r>
        <w:rPr>
          <w:rFonts w:ascii="Arial Narrow" w:hAnsi="Arial Narrow"/>
        </w:rPr>
        <w:t xml:space="preserve">provided their own clause number.  </w:t>
      </w:r>
      <w:r w:rsidR="001445BA">
        <w:rPr>
          <w:rFonts w:ascii="Arial Narrow" w:hAnsi="Arial Narrow"/>
        </w:rPr>
        <w:t xml:space="preserve">Overtime, </w:t>
      </w:r>
      <w:r>
        <w:rPr>
          <w:rFonts w:ascii="Arial Narrow" w:hAnsi="Arial Narrow"/>
        </w:rPr>
        <w:t>th</w:t>
      </w:r>
      <w:r w:rsidR="001445BA">
        <w:rPr>
          <w:rFonts w:ascii="Arial Narrow" w:hAnsi="Arial Narrow"/>
        </w:rPr>
        <w:t>is policy has not been followed and th</w:t>
      </w:r>
      <w:r>
        <w:rPr>
          <w:rFonts w:ascii="Arial Narrow" w:hAnsi="Arial Narrow"/>
        </w:rPr>
        <w:t xml:space="preserve">e definitions have become intermingled, making it difficult to locate </w:t>
      </w:r>
      <w:r w:rsidR="001445BA">
        <w:rPr>
          <w:rFonts w:ascii="Arial Narrow" w:hAnsi="Arial Narrow"/>
        </w:rPr>
        <w:t xml:space="preserve">a given </w:t>
      </w:r>
      <w:r>
        <w:rPr>
          <w:rFonts w:ascii="Arial Narrow" w:hAnsi="Arial Narrow"/>
        </w:rPr>
        <w:t>definition.</w:t>
      </w:r>
    </w:p>
    <w:p w14:paraId="7E403C7D" w14:textId="117DB06E" w:rsidR="00F6447C" w:rsidRPr="00F6447C" w:rsidRDefault="00F6447C" w:rsidP="00F6447C">
      <w:pPr>
        <w:spacing w:after="120"/>
        <w:rPr>
          <w:rFonts w:ascii="Arial Narrow" w:hAnsi="Arial Narrow"/>
          <w:b/>
        </w:rPr>
      </w:pPr>
      <w:r w:rsidRPr="00F6447C">
        <w:rPr>
          <w:rFonts w:ascii="Arial Narrow" w:hAnsi="Arial Narrow"/>
          <w:b/>
        </w:rPr>
        <w:t>Action Taken</w:t>
      </w:r>
    </w:p>
    <w:p w14:paraId="704E240D" w14:textId="77777777" w:rsidR="00F6447C" w:rsidRPr="00F6447C" w:rsidRDefault="00F6447C" w:rsidP="00F6447C">
      <w:pPr>
        <w:pStyle w:val="ListParagraph"/>
        <w:numPr>
          <w:ilvl w:val="0"/>
          <w:numId w:val="21"/>
        </w:numPr>
        <w:pBdr>
          <w:bottom w:val="single" w:sz="2" w:space="6" w:color="10CFC9"/>
        </w:pBdr>
        <w:spacing w:before="220" w:after="220" w:line="264" w:lineRule="auto"/>
        <w:rPr>
          <w:rFonts w:ascii="Arial Narrow" w:hAnsi="Arial Narrow"/>
        </w:rPr>
      </w:pPr>
      <w:r w:rsidRPr="00F6447C">
        <w:rPr>
          <w:rFonts w:ascii="Arial Narrow" w:hAnsi="Arial Narrow"/>
        </w:rPr>
        <w:t>Definitions that have been taken from the UN MR have been re written to remain faithful to the source definition.</w:t>
      </w:r>
    </w:p>
    <w:p w14:paraId="1DE61D91" w14:textId="5CC0ECED" w:rsidR="00F6447C" w:rsidRPr="00F6447C" w:rsidRDefault="00F6447C" w:rsidP="00F6447C">
      <w:pPr>
        <w:pStyle w:val="ListParagraph"/>
        <w:numPr>
          <w:ilvl w:val="0"/>
          <w:numId w:val="21"/>
        </w:numPr>
        <w:pBdr>
          <w:bottom w:val="single" w:sz="2" w:space="6" w:color="10CFC9"/>
        </w:pBdr>
        <w:spacing w:before="220" w:after="220" w:line="264" w:lineRule="auto"/>
        <w:rPr>
          <w:rFonts w:ascii="Arial Narrow" w:eastAsia="Cambria" w:hAnsi="Arial Narrow" w:cs="Times New Roman"/>
          <w:b/>
        </w:rPr>
      </w:pPr>
      <w:r w:rsidRPr="00F6447C">
        <w:rPr>
          <w:rFonts w:ascii="Arial Narrow" w:hAnsi="Arial Narrow"/>
        </w:rPr>
        <w:t>All definitions, whether also in the MSI or not, have been collated as a single alphabetical list under clause 1.2.1 of the ADG Code.  Definitions that are also defined in the MSI are identified with an asterix *.</w:t>
      </w:r>
    </w:p>
    <w:p w14:paraId="7BA562B8" w14:textId="77777777" w:rsidR="00E26D6D" w:rsidRDefault="00E26D6D" w:rsidP="00C27EF1">
      <w:pPr>
        <w:pBdr>
          <w:bottom w:val="single" w:sz="2" w:space="6" w:color="10CFC9"/>
        </w:pBdr>
        <w:spacing w:before="220" w:after="220" w:line="264" w:lineRule="auto"/>
        <w:rPr>
          <w:rFonts w:ascii="Arial Narrow" w:eastAsia="Cambria" w:hAnsi="Arial Narrow" w:cs="Times New Roman"/>
          <w:b/>
        </w:rPr>
      </w:pPr>
      <w:bookmarkStart w:id="1" w:name="_Hlk80271457"/>
      <w:bookmarkStart w:id="2" w:name="_Hlk80089120"/>
    </w:p>
    <w:p w14:paraId="292343D6" w14:textId="4B78FD97" w:rsidR="00C27EF1" w:rsidRPr="005D4025" w:rsidRDefault="00D36F6F" w:rsidP="00C27EF1">
      <w:pPr>
        <w:pBdr>
          <w:bottom w:val="single" w:sz="2" w:space="6" w:color="10CFC9"/>
        </w:pBdr>
        <w:spacing w:before="220" w:after="220" w:line="264" w:lineRule="auto"/>
        <w:rPr>
          <w:rFonts w:ascii="Arial Narrow" w:eastAsia="Cambria" w:hAnsi="Arial Narrow" w:cs="Times New Roman"/>
          <w:b/>
        </w:rPr>
      </w:pPr>
      <w:r>
        <w:rPr>
          <w:rFonts w:ascii="Arial Narrow" w:eastAsia="Cambria" w:hAnsi="Arial Narrow" w:cs="Times New Roman"/>
          <w:b/>
        </w:rPr>
        <w:lastRenderedPageBreak/>
        <w:t>FURTHER EXEMPTION FOR VERY SMALL CONSIGNMENTS</w:t>
      </w:r>
      <w:r w:rsidR="00C27EF1" w:rsidRPr="005D4025">
        <w:rPr>
          <w:rFonts w:ascii="Arial Narrow" w:eastAsia="Cambria" w:hAnsi="Arial Narrow" w:cs="Times New Roman"/>
          <w:b/>
        </w:rPr>
        <w:t xml:space="preserve"> – </w:t>
      </w:r>
      <w:r>
        <w:rPr>
          <w:rFonts w:ascii="Arial Narrow" w:eastAsia="Cambria" w:hAnsi="Arial Narrow" w:cs="Times New Roman"/>
          <w:b/>
        </w:rPr>
        <w:t>1.1.1.2</w:t>
      </w:r>
    </w:p>
    <w:p w14:paraId="5A905C9A" w14:textId="10ABBBB8" w:rsidR="00EE28BB" w:rsidRDefault="00546C5D" w:rsidP="000D68E9">
      <w:pPr>
        <w:spacing w:after="120"/>
        <w:rPr>
          <w:rFonts w:ascii="Arial Narrow" w:hAnsi="Arial Narrow"/>
          <w:b/>
        </w:rPr>
      </w:pPr>
      <w:r>
        <w:rPr>
          <w:rFonts w:ascii="Arial Narrow" w:hAnsi="Arial Narrow"/>
          <w:b/>
        </w:rPr>
        <w:t>Problem</w:t>
      </w:r>
    </w:p>
    <w:p w14:paraId="6367288D" w14:textId="4C4BE0F5" w:rsidR="007C3C02" w:rsidRPr="007C3C02" w:rsidRDefault="007C3C02" w:rsidP="000D68E9">
      <w:pPr>
        <w:spacing w:after="120"/>
        <w:rPr>
          <w:rFonts w:ascii="Arial Narrow" w:hAnsi="Arial Narrow"/>
        </w:rPr>
      </w:pPr>
      <w:r w:rsidRPr="007C3C02">
        <w:rPr>
          <w:rFonts w:ascii="Arial Narrow" w:hAnsi="Arial Narrow"/>
        </w:rPr>
        <w:t>Provision 1.1.1.2(3) (MSI Reg 1.1.6(2)) provides an exemption from all requirements of the ADG Code for very small consignments, where the aggregate quantity of the consignment is no more than the quantities specified in Table 1.1.1.2.  Consignments exempted under Table 1.1.1.2 are exempt from </w:t>
      </w:r>
      <w:r w:rsidRPr="007C3C02">
        <w:rPr>
          <w:rFonts w:ascii="Arial Narrow" w:hAnsi="Arial Narrow"/>
          <w:b/>
          <w:bCs/>
        </w:rPr>
        <w:t>all</w:t>
      </w:r>
      <w:r w:rsidRPr="007C3C02">
        <w:rPr>
          <w:rFonts w:ascii="Arial Narrow" w:hAnsi="Arial Narrow"/>
        </w:rPr>
        <w:t xml:space="preserve"> requirements of the ADG </w:t>
      </w:r>
      <w:bookmarkEnd w:id="1"/>
      <w:r w:rsidRPr="007C3C02">
        <w:rPr>
          <w:rFonts w:ascii="Arial Narrow" w:hAnsi="Arial Narrow"/>
        </w:rPr>
        <w:t>Code. </w:t>
      </w:r>
    </w:p>
    <w:p w14:paraId="10B97143" w14:textId="544D2E8C" w:rsidR="007C3C02" w:rsidRPr="007C3C02" w:rsidRDefault="007C3C02" w:rsidP="000D68E9">
      <w:pPr>
        <w:spacing w:after="120"/>
        <w:rPr>
          <w:rFonts w:ascii="Arial Narrow" w:hAnsi="Arial Narrow"/>
        </w:rPr>
      </w:pPr>
      <w:r w:rsidRPr="007C3C02">
        <w:rPr>
          <w:rFonts w:ascii="Arial Narrow" w:hAnsi="Arial Narrow"/>
        </w:rPr>
        <w:t xml:space="preserve">The exempted quantities in the Table were assigned at the commencement of ADG 7.  </w:t>
      </w:r>
      <w:r w:rsidR="009460FE">
        <w:rPr>
          <w:rFonts w:ascii="Arial Narrow" w:hAnsi="Arial Narrow"/>
        </w:rPr>
        <w:t>In the time s</w:t>
      </w:r>
      <w:r w:rsidRPr="007C3C02">
        <w:rPr>
          <w:rFonts w:ascii="Arial Narrow" w:hAnsi="Arial Narrow"/>
        </w:rPr>
        <w:t>ince the table was first introduced, there have been significant changes to both the UN Model Regulations and the ADG Code.  These changes include, among other matters, the introduction of concessions for dangerous goods packed in limited quantities and the introduction of new UN entries for Lithium batteries.  Table 1.1.1.2 has not been updated to reflect these changes, resulting in several deficiencies and conflicts between the current table and other requirements in the Code.  In addition, the table lacks clarity for classes/divisions that do not have packing groups assigned. </w:t>
      </w:r>
    </w:p>
    <w:p w14:paraId="1F8DB53C" w14:textId="77777777" w:rsidR="0081061E" w:rsidRPr="0081061E" w:rsidRDefault="0081061E" w:rsidP="000D68E9">
      <w:pPr>
        <w:spacing w:after="120"/>
        <w:rPr>
          <w:rFonts w:ascii="Arial Narrow" w:hAnsi="Arial Narrow"/>
          <w:b/>
          <w:bCs/>
        </w:rPr>
      </w:pPr>
      <w:r w:rsidRPr="0081061E">
        <w:rPr>
          <w:rFonts w:ascii="Arial Narrow" w:hAnsi="Arial Narrow"/>
          <w:b/>
          <w:bCs/>
        </w:rPr>
        <w:t>Action taken</w:t>
      </w:r>
    </w:p>
    <w:p w14:paraId="29DA18BD" w14:textId="6C445A21" w:rsidR="007C3C02" w:rsidRPr="007C3C02" w:rsidRDefault="007C3C02" w:rsidP="000D68E9">
      <w:pPr>
        <w:spacing w:after="120"/>
        <w:rPr>
          <w:rFonts w:ascii="Arial Narrow" w:hAnsi="Arial Narrow"/>
        </w:rPr>
      </w:pPr>
      <w:r w:rsidRPr="007C3C02">
        <w:rPr>
          <w:rFonts w:ascii="Arial Narrow" w:hAnsi="Arial Narrow"/>
        </w:rPr>
        <w:t>In order to resolve the</w:t>
      </w:r>
      <w:r w:rsidR="009460FE">
        <w:rPr>
          <w:rFonts w:ascii="Arial Narrow" w:hAnsi="Arial Narrow"/>
        </w:rPr>
        <w:t xml:space="preserve"> identified</w:t>
      </w:r>
      <w:r w:rsidRPr="007C3C02">
        <w:rPr>
          <w:rFonts w:ascii="Arial Narrow" w:hAnsi="Arial Narrow"/>
        </w:rPr>
        <w:t xml:space="preserve"> deficiencies and conflicts, while continuing to allow industry to benefit from the exemptions for very small quantities, clause 1.1.1.2(3) and Table 1.1.1.2 </w:t>
      </w:r>
      <w:r w:rsidR="0081061E">
        <w:rPr>
          <w:rFonts w:ascii="Arial Narrow" w:hAnsi="Arial Narrow"/>
        </w:rPr>
        <w:t xml:space="preserve">have been amended </w:t>
      </w:r>
      <w:r w:rsidRPr="007C3C02">
        <w:rPr>
          <w:rFonts w:ascii="Arial Narrow" w:hAnsi="Arial Narrow"/>
        </w:rPr>
        <w:t>to: </w:t>
      </w:r>
    </w:p>
    <w:p w14:paraId="2EF3E028" w14:textId="77777777" w:rsidR="007C3C02" w:rsidRPr="007C3C02" w:rsidRDefault="007C3C02" w:rsidP="000D68E9">
      <w:pPr>
        <w:numPr>
          <w:ilvl w:val="0"/>
          <w:numId w:val="8"/>
        </w:numPr>
        <w:spacing w:after="120"/>
        <w:rPr>
          <w:rFonts w:ascii="Arial Narrow" w:hAnsi="Arial Narrow"/>
        </w:rPr>
      </w:pPr>
      <w:r w:rsidRPr="007C3C02">
        <w:rPr>
          <w:rFonts w:ascii="Arial Narrow" w:hAnsi="Arial Narrow"/>
        </w:rPr>
        <w:t>Remove the conflict with Chapter 3.4 of the Code by excluding dangerous goods with an LQ value of ‘0” in column 7a of the Dangerous Goods List. </w:t>
      </w:r>
    </w:p>
    <w:p w14:paraId="5CEB1BAC" w14:textId="77777777" w:rsidR="007C3C02" w:rsidRPr="007C3C02" w:rsidRDefault="007C3C02" w:rsidP="000D68E9">
      <w:pPr>
        <w:numPr>
          <w:ilvl w:val="0"/>
          <w:numId w:val="9"/>
        </w:numPr>
        <w:spacing w:after="120"/>
        <w:rPr>
          <w:rFonts w:ascii="Arial Narrow" w:hAnsi="Arial Narrow"/>
        </w:rPr>
      </w:pPr>
      <w:r w:rsidRPr="007C3C02">
        <w:rPr>
          <w:rFonts w:ascii="Arial Narrow" w:hAnsi="Arial Narrow"/>
        </w:rPr>
        <w:t>Remove the column in Table 1.1.1.2 for Division 4.2.  Division 4.2 substances are not permitted to be transported as LQ so the column is redundant.  </w:t>
      </w:r>
    </w:p>
    <w:p w14:paraId="429177B7" w14:textId="77777777" w:rsidR="007C3C02" w:rsidRPr="007C3C02" w:rsidRDefault="007C3C02" w:rsidP="000D68E9">
      <w:pPr>
        <w:numPr>
          <w:ilvl w:val="0"/>
          <w:numId w:val="10"/>
        </w:numPr>
        <w:spacing w:after="120"/>
        <w:rPr>
          <w:rFonts w:ascii="Arial Narrow" w:hAnsi="Arial Narrow"/>
        </w:rPr>
      </w:pPr>
      <w:r w:rsidRPr="007C3C02">
        <w:rPr>
          <w:rFonts w:ascii="Arial Narrow" w:hAnsi="Arial Narrow"/>
        </w:rPr>
        <w:t>Update the quantities for Division 5.2 to distinguish between organic peroxides type B or C and organic peroxides D, E or F, and liquids vs solids, in line with the UN Guiding Principles for assigning LQ limits. </w:t>
      </w:r>
    </w:p>
    <w:p w14:paraId="61AA8657" w14:textId="77777777" w:rsidR="007C3C02" w:rsidRPr="007C3C02" w:rsidRDefault="007C3C02" w:rsidP="000D68E9">
      <w:pPr>
        <w:numPr>
          <w:ilvl w:val="0"/>
          <w:numId w:val="11"/>
        </w:numPr>
        <w:spacing w:after="120"/>
        <w:rPr>
          <w:rFonts w:ascii="Arial Narrow" w:hAnsi="Arial Narrow"/>
        </w:rPr>
      </w:pPr>
      <w:r w:rsidRPr="007C3C02">
        <w:rPr>
          <w:rFonts w:ascii="Arial Narrow" w:hAnsi="Arial Narrow"/>
        </w:rPr>
        <w:t>Ensure these exemptions are not used to allow the transport of quantities that were not foreseen at the time the exemption was initially introduced. </w:t>
      </w:r>
    </w:p>
    <w:p w14:paraId="58C956EE" w14:textId="5480667A" w:rsidR="007C3C02" w:rsidRPr="007C3C02" w:rsidRDefault="0081061E" w:rsidP="000D68E9">
      <w:pPr>
        <w:spacing w:after="120"/>
        <w:rPr>
          <w:rFonts w:ascii="Arial Narrow" w:hAnsi="Arial Narrow"/>
        </w:rPr>
      </w:pPr>
      <w:r>
        <w:rPr>
          <w:rFonts w:ascii="Arial Narrow" w:hAnsi="Arial Narrow"/>
          <w:b/>
          <w:bCs/>
        </w:rPr>
        <w:t>Amended provisions</w:t>
      </w:r>
    </w:p>
    <w:p w14:paraId="3F18CFCA" w14:textId="13829F8A" w:rsidR="007C3C02" w:rsidRPr="007C3C02" w:rsidRDefault="0081061E" w:rsidP="000D68E9">
      <w:pPr>
        <w:spacing w:after="120"/>
        <w:rPr>
          <w:rFonts w:ascii="Arial Narrow" w:hAnsi="Arial Narrow"/>
        </w:rPr>
      </w:pPr>
      <w:r>
        <w:rPr>
          <w:rFonts w:ascii="Arial Narrow" w:hAnsi="Arial Narrow"/>
        </w:rPr>
        <w:t>D</w:t>
      </w:r>
      <w:r w:rsidR="007C3C02" w:rsidRPr="007C3C02">
        <w:rPr>
          <w:rFonts w:ascii="Arial Narrow" w:hAnsi="Arial Narrow"/>
        </w:rPr>
        <w:t>eleted text shown in strikethrough, new text shown bold and underlined </w:t>
      </w:r>
    </w:p>
    <w:p w14:paraId="49BE9DF7" w14:textId="77777777" w:rsidR="00FC0E66" w:rsidRDefault="00FC0E66" w:rsidP="000D68E9">
      <w:pPr>
        <w:spacing w:after="120"/>
        <w:rPr>
          <w:rFonts w:ascii="Arial Narrow" w:hAnsi="Arial Narrow"/>
          <w:i/>
          <w:iCs/>
        </w:rPr>
      </w:pPr>
      <w:r>
        <w:rPr>
          <w:rFonts w:ascii="Arial Narrow" w:hAnsi="Arial Narrow"/>
          <w:i/>
          <w:iCs/>
        </w:rPr>
        <w:t>1.1.1.2</w:t>
      </w:r>
    </w:p>
    <w:p w14:paraId="35E83E5E" w14:textId="694651D7" w:rsidR="007C3C02" w:rsidRPr="007C3C02" w:rsidRDefault="007C3C02" w:rsidP="00FC0E66">
      <w:pPr>
        <w:spacing w:after="120"/>
        <w:ind w:left="360"/>
        <w:rPr>
          <w:rFonts w:ascii="Arial Narrow" w:hAnsi="Arial Narrow"/>
        </w:rPr>
      </w:pPr>
      <w:r w:rsidRPr="007C3C02">
        <w:rPr>
          <w:rFonts w:ascii="Arial Narrow" w:hAnsi="Arial Narrow"/>
          <w:i/>
          <w:iCs/>
        </w:rPr>
        <w:t>(3)</w:t>
      </w:r>
      <w:r w:rsidRPr="007C3C02">
        <w:rPr>
          <w:rFonts w:ascii="Arial Narrow" w:hAnsi="Arial Narrow"/>
        </w:rPr>
        <w:t xml:space="preserve"> </w:t>
      </w:r>
      <w:r w:rsidRPr="007C3C02">
        <w:rPr>
          <w:rFonts w:ascii="Arial Narrow" w:hAnsi="Arial Narrow"/>
          <w:i/>
          <w:iCs/>
        </w:rPr>
        <w:t>Regulation 1.1.6(2) provides further exemptions for:</w:t>
      </w:r>
      <w:r w:rsidRPr="007C3C02">
        <w:rPr>
          <w:rFonts w:ascii="Arial Narrow" w:hAnsi="Arial Narrow"/>
        </w:rPr>
        <w:t> </w:t>
      </w:r>
    </w:p>
    <w:p w14:paraId="29AD68A7" w14:textId="77777777" w:rsidR="007C3C02" w:rsidRPr="007C3C02" w:rsidRDefault="007C3C02" w:rsidP="00FC0E66">
      <w:pPr>
        <w:spacing w:after="120"/>
        <w:ind w:left="720"/>
        <w:rPr>
          <w:rFonts w:ascii="Arial Narrow" w:hAnsi="Arial Narrow"/>
        </w:rPr>
      </w:pPr>
      <w:r w:rsidRPr="007C3C02">
        <w:rPr>
          <w:rFonts w:ascii="Arial Narrow" w:hAnsi="Arial Narrow"/>
          <w:i/>
          <w:iCs/>
        </w:rPr>
        <w:t>(a)</w:t>
      </w:r>
      <w:r w:rsidRPr="007C3C02">
        <w:rPr>
          <w:rFonts w:ascii="Arial Narrow" w:hAnsi="Arial Narrow"/>
        </w:rPr>
        <w:t xml:space="preserve"> </w:t>
      </w:r>
      <w:r w:rsidRPr="007C3C02">
        <w:rPr>
          <w:rFonts w:ascii="Arial Narrow" w:hAnsi="Arial Narrow"/>
          <w:i/>
          <w:iCs/>
        </w:rPr>
        <w:t>very small consignments, where</w:t>
      </w:r>
      <w:r w:rsidRPr="007C3C02">
        <w:rPr>
          <w:rFonts w:ascii="Arial Narrow" w:hAnsi="Arial Narrow"/>
          <w:b/>
          <w:bCs/>
          <w:i/>
          <w:iCs/>
          <w:u w:val="single"/>
        </w:rPr>
        <w:t>:</w:t>
      </w:r>
      <w:r w:rsidRPr="007C3C02">
        <w:rPr>
          <w:rFonts w:ascii="Arial Narrow" w:hAnsi="Arial Narrow"/>
        </w:rPr>
        <w:t> </w:t>
      </w:r>
    </w:p>
    <w:p w14:paraId="7C949399" w14:textId="77777777" w:rsidR="007C3C02" w:rsidRPr="007C3C02" w:rsidRDefault="007C3C02" w:rsidP="00FC0E66">
      <w:pPr>
        <w:numPr>
          <w:ilvl w:val="0"/>
          <w:numId w:val="12"/>
        </w:numPr>
        <w:tabs>
          <w:tab w:val="clear" w:pos="720"/>
          <w:tab w:val="num" w:pos="1440"/>
        </w:tabs>
        <w:spacing w:after="120"/>
        <w:ind w:left="1440"/>
        <w:rPr>
          <w:rFonts w:ascii="Arial Narrow" w:hAnsi="Arial Narrow"/>
        </w:rPr>
      </w:pPr>
      <w:r w:rsidRPr="007C3C02">
        <w:rPr>
          <w:rFonts w:ascii="Arial Narrow" w:hAnsi="Arial Narrow"/>
          <w:i/>
          <w:iCs/>
        </w:rPr>
        <w:t>the aggregate quantity of dangerous goods is not more than the following limits </w:t>
      </w:r>
      <w:r w:rsidRPr="007C3C02">
        <w:rPr>
          <w:rFonts w:ascii="Arial Narrow" w:hAnsi="Arial Narrow"/>
          <w:b/>
          <w:bCs/>
          <w:i/>
          <w:iCs/>
          <w:u w:val="single"/>
        </w:rPr>
        <w:t>specified in Table 1.1.1.2</w:t>
      </w:r>
      <w:r w:rsidRPr="007C3C02">
        <w:rPr>
          <w:rFonts w:ascii="Arial Narrow" w:hAnsi="Arial Narrow"/>
          <w:b/>
          <w:bCs/>
          <w:i/>
          <w:iCs/>
        </w:rPr>
        <w:t>; and</w:t>
      </w:r>
      <w:r w:rsidRPr="007C3C02">
        <w:rPr>
          <w:rFonts w:ascii="Arial Narrow" w:hAnsi="Arial Narrow"/>
        </w:rPr>
        <w:t> </w:t>
      </w:r>
    </w:p>
    <w:p w14:paraId="6AEF58FA" w14:textId="77777777" w:rsidR="007C3C02" w:rsidRPr="007C3C02" w:rsidRDefault="007C3C02" w:rsidP="00FC0E66">
      <w:pPr>
        <w:numPr>
          <w:ilvl w:val="0"/>
          <w:numId w:val="13"/>
        </w:numPr>
        <w:tabs>
          <w:tab w:val="clear" w:pos="720"/>
          <w:tab w:val="num" w:pos="1440"/>
        </w:tabs>
        <w:spacing w:after="120"/>
        <w:ind w:left="1440"/>
        <w:rPr>
          <w:rFonts w:ascii="Arial Narrow" w:hAnsi="Arial Narrow"/>
        </w:rPr>
      </w:pPr>
      <w:r w:rsidRPr="007C3C02">
        <w:rPr>
          <w:rFonts w:ascii="Arial Narrow" w:hAnsi="Arial Narrow"/>
          <w:b/>
          <w:bCs/>
          <w:i/>
          <w:iCs/>
          <w:u w:val="single"/>
        </w:rPr>
        <w:t>The consignment does not include dangerous goods with an LQ value of ‘0’ in column 7a of the dangerous goods list:  </w:t>
      </w:r>
      <w:r w:rsidRPr="007C3C02">
        <w:rPr>
          <w:rFonts w:ascii="Arial Narrow" w:hAnsi="Arial Narrow"/>
        </w:rPr>
        <w:t> </w:t>
      </w:r>
    </w:p>
    <w:tbl>
      <w:tblPr>
        <w:tblW w:w="9639" w:type="dxa"/>
        <w:tblInd w:w="-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0"/>
        <w:gridCol w:w="608"/>
        <w:gridCol w:w="650"/>
        <w:gridCol w:w="255"/>
        <w:gridCol w:w="371"/>
        <w:gridCol w:w="589"/>
        <w:gridCol w:w="509"/>
        <w:gridCol w:w="614"/>
        <w:gridCol w:w="599"/>
        <w:gridCol w:w="749"/>
        <w:gridCol w:w="612"/>
        <w:gridCol w:w="580"/>
        <w:gridCol w:w="783"/>
        <w:gridCol w:w="493"/>
        <w:gridCol w:w="850"/>
        <w:gridCol w:w="567"/>
      </w:tblGrid>
      <w:tr w:rsidR="007C3C02" w:rsidRPr="007C3C02" w14:paraId="5BBCC0B7" w14:textId="77777777" w:rsidTr="0081061E">
        <w:tc>
          <w:tcPr>
            <w:tcW w:w="9639" w:type="dxa"/>
            <w:gridSpan w:val="16"/>
            <w:tcBorders>
              <w:top w:val="single" w:sz="8" w:space="0" w:color="auto"/>
              <w:left w:val="single" w:sz="8" w:space="0" w:color="auto"/>
              <w:bottom w:val="single" w:sz="8" w:space="0" w:color="auto"/>
              <w:right w:val="single" w:sz="8" w:space="0" w:color="auto"/>
            </w:tcBorders>
            <w:hideMark/>
          </w:tcPr>
          <w:p w14:paraId="4BB78D83" w14:textId="172A7F0B" w:rsidR="007C3C02" w:rsidRPr="007C3C02" w:rsidRDefault="007C3C02" w:rsidP="000D68E9">
            <w:pPr>
              <w:spacing w:after="120"/>
              <w:rPr>
                <w:rFonts w:ascii="Arial Narrow" w:hAnsi="Arial Narrow"/>
              </w:rPr>
            </w:pPr>
            <w:r w:rsidRPr="007C3C02">
              <w:rPr>
                <w:rFonts w:ascii="Arial Narrow" w:hAnsi="Arial Narrow"/>
              </w:rPr>
              <w:t> Table 1.1.1.2:   Quantity Limits for exempted small consignments </w:t>
            </w:r>
          </w:p>
        </w:tc>
      </w:tr>
      <w:tr w:rsidR="0081061E" w:rsidRPr="0081061E" w14:paraId="401D0D63" w14:textId="77777777" w:rsidTr="0081061E">
        <w:tc>
          <w:tcPr>
            <w:tcW w:w="810" w:type="dxa"/>
            <w:vMerge w:val="restart"/>
            <w:tcBorders>
              <w:top w:val="nil"/>
              <w:left w:val="single" w:sz="8" w:space="0" w:color="auto"/>
              <w:bottom w:val="double" w:sz="6" w:space="0" w:color="auto"/>
              <w:right w:val="single" w:sz="8" w:space="0" w:color="auto"/>
            </w:tcBorders>
            <w:vAlign w:val="center"/>
            <w:hideMark/>
          </w:tcPr>
          <w:p w14:paraId="733A1C6C" w14:textId="390BB9D4" w:rsidR="0081061E" w:rsidRPr="007C3C02" w:rsidRDefault="0081061E" w:rsidP="000D68E9">
            <w:pPr>
              <w:spacing w:after="120"/>
              <w:jc w:val="center"/>
              <w:rPr>
                <w:rFonts w:ascii="Arial Narrow" w:hAnsi="Arial Narrow"/>
              </w:rPr>
            </w:pPr>
            <w:r w:rsidRPr="007C3C02">
              <w:rPr>
                <w:rFonts w:ascii="Arial Narrow" w:hAnsi="Arial Narrow"/>
              </w:rPr>
              <w:t>Packing</w:t>
            </w:r>
          </w:p>
          <w:p w14:paraId="17614350" w14:textId="11E4BFED" w:rsidR="0081061E" w:rsidRPr="007C3C02" w:rsidRDefault="0081061E" w:rsidP="000D68E9">
            <w:pPr>
              <w:spacing w:after="120"/>
              <w:jc w:val="center"/>
              <w:rPr>
                <w:rFonts w:ascii="Arial Narrow" w:hAnsi="Arial Narrow"/>
              </w:rPr>
            </w:pPr>
            <w:r w:rsidRPr="007C3C02">
              <w:rPr>
                <w:rFonts w:ascii="Arial Narrow" w:hAnsi="Arial Narrow"/>
              </w:rPr>
              <w:t>Group</w:t>
            </w:r>
          </w:p>
        </w:tc>
        <w:tc>
          <w:tcPr>
            <w:tcW w:w="8829" w:type="dxa"/>
            <w:gridSpan w:val="15"/>
            <w:tcBorders>
              <w:top w:val="nil"/>
              <w:left w:val="nil"/>
              <w:bottom w:val="single" w:sz="8" w:space="0" w:color="auto"/>
              <w:right w:val="single" w:sz="8" w:space="0" w:color="auto"/>
            </w:tcBorders>
            <w:hideMark/>
          </w:tcPr>
          <w:p w14:paraId="45C8B6E3" w14:textId="15228BE9" w:rsidR="0081061E" w:rsidRPr="007C3C02" w:rsidRDefault="0081061E" w:rsidP="000D68E9">
            <w:pPr>
              <w:spacing w:after="120"/>
              <w:jc w:val="center"/>
              <w:rPr>
                <w:rFonts w:ascii="Arial Narrow" w:hAnsi="Arial Narrow"/>
              </w:rPr>
            </w:pPr>
            <w:r w:rsidRPr="007C3C02">
              <w:rPr>
                <w:rFonts w:ascii="Arial Narrow" w:hAnsi="Arial Narrow"/>
              </w:rPr>
              <w:t>Class or Division</w:t>
            </w:r>
          </w:p>
        </w:tc>
      </w:tr>
      <w:tr w:rsidR="0081061E" w:rsidRPr="0081061E" w14:paraId="456823D6" w14:textId="77777777" w:rsidTr="00463BE3">
        <w:tc>
          <w:tcPr>
            <w:tcW w:w="810" w:type="dxa"/>
            <w:vMerge/>
            <w:tcBorders>
              <w:top w:val="nil"/>
              <w:left w:val="single" w:sz="8" w:space="0" w:color="auto"/>
              <w:bottom w:val="double" w:sz="6" w:space="0" w:color="auto"/>
              <w:right w:val="single" w:sz="8" w:space="0" w:color="auto"/>
            </w:tcBorders>
            <w:vAlign w:val="center"/>
            <w:hideMark/>
          </w:tcPr>
          <w:p w14:paraId="35977086" w14:textId="77777777" w:rsidR="007C3C02" w:rsidRPr="007C3C02" w:rsidRDefault="007C3C02" w:rsidP="000D68E9">
            <w:pPr>
              <w:spacing w:after="120"/>
              <w:rPr>
                <w:rFonts w:ascii="Arial Narrow" w:hAnsi="Arial Narrow"/>
              </w:rPr>
            </w:pPr>
          </w:p>
        </w:tc>
        <w:tc>
          <w:tcPr>
            <w:tcW w:w="608" w:type="dxa"/>
            <w:tcBorders>
              <w:top w:val="nil"/>
              <w:left w:val="nil"/>
              <w:bottom w:val="double" w:sz="6" w:space="0" w:color="auto"/>
              <w:right w:val="single" w:sz="8" w:space="0" w:color="auto"/>
            </w:tcBorders>
            <w:vAlign w:val="bottom"/>
            <w:hideMark/>
          </w:tcPr>
          <w:p w14:paraId="0DC48B31" w14:textId="0394F22A" w:rsidR="007C3C02" w:rsidRPr="007C3C02" w:rsidRDefault="007C3C02" w:rsidP="000D68E9">
            <w:pPr>
              <w:spacing w:after="120"/>
              <w:jc w:val="center"/>
              <w:rPr>
                <w:rFonts w:ascii="Arial Narrow" w:hAnsi="Arial Narrow"/>
              </w:rPr>
            </w:pPr>
            <w:r w:rsidRPr="007C3C02">
              <w:rPr>
                <w:rFonts w:ascii="Arial Narrow" w:hAnsi="Arial Narrow"/>
              </w:rPr>
              <w:t>2.1</w:t>
            </w:r>
          </w:p>
        </w:tc>
        <w:tc>
          <w:tcPr>
            <w:tcW w:w="650" w:type="dxa"/>
            <w:tcBorders>
              <w:top w:val="nil"/>
              <w:left w:val="nil"/>
              <w:bottom w:val="double" w:sz="6" w:space="0" w:color="auto"/>
              <w:right w:val="single" w:sz="8" w:space="0" w:color="auto"/>
            </w:tcBorders>
            <w:vAlign w:val="bottom"/>
            <w:hideMark/>
          </w:tcPr>
          <w:p w14:paraId="481C875B" w14:textId="041AE1FE" w:rsidR="007C3C02" w:rsidRPr="007C3C02" w:rsidRDefault="007C3C02" w:rsidP="000D68E9">
            <w:pPr>
              <w:spacing w:after="120"/>
              <w:jc w:val="center"/>
              <w:rPr>
                <w:rFonts w:ascii="Arial Narrow" w:hAnsi="Arial Narrow"/>
              </w:rPr>
            </w:pPr>
            <w:r w:rsidRPr="007C3C02">
              <w:rPr>
                <w:rFonts w:ascii="Arial Narrow" w:hAnsi="Arial Narrow"/>
              </w:rPr>
              <w:t>2.2</w:t>
            </w:r>
          </w:p>
        </w:tc>
        <w:tc>
          <w:tcPr>
            <w:tcW w:w="626" w:type="dxa"/>
            <w:gridSpan w:val="2"/>
            <w:tcBorders>
              <w:top w:val="nil"/>
              <w:left w:val="nil"/>
              <w:bottom w:val="double" w:sz="6" w:space="0" w:color="auto"/>
              <w:right w:val="single" w:sz="8" w:space="0" w:color="auto"/>
            </w:tcBorders>
            <w:vAlign w:val="bottom"/>
            <w:hideMark/>
          </w:tcPr>
          <w:p w14:paraId="09817C83" w14:textId="165C919C" w:rsidR="007C3C02" w:rsidRPr="007C3C02" w:rsidRDefault="007C3C02" w:rsidP="000D68E9">
            <w:pPr>
              <w:spacing w:after="120"/>
              <w:jc w:val="center"/>
              <w:rPr>
                <w:rFonts w:ascii="Arial Narrow" w:hAnsi="Arial Narrow"/>
              </w:rPr>
            </w:pPr>
            <w:r w:rsidRPr="007C3C02">
              <w:rPr>
                <w:rFonts w:ascii="Arial Narrow" w:hAnsi="Arial Narrow"/>
              </w:rPr>
              <w:t>2.3</w:t>
            </w:r>
          </w:p>
        </w:tc>
        <w:tc>
          <w:tcPr>
            <w:tcW w:w="589" w:type="dxa"/>
            <w:tcBorders>
              <w:top w:val="nil"/>
              <w:left w:val="nil"/>
              <w:bottom w:val="double" w:sz="6" w:space="0" w:color="auto"/>
              <w:right w:val="single" w:sz="8" w:space="0" w:color="auto"/>
            </w:tcBorders>
            <w:vAlign w:val="bottom"/>
            <w:hideMark/>
          </w:tcPr>
          <w:p w14:paraId="479267E2" w14:textId="784ADA52" w:rsidR="007C3C02" w:rsidRPr="007C3C02" w:rsidRDefault="007C3C02" w:rsidP="000D68E9">
            <w:pPr>
              <w:spacing w:after="120"/>
              <w:jc w:val="center"/>
              <w:rPr>
                <w:rFonts w:ascii="Arial Narrow" w:hAnsi="Arial Narrow"/>
              </w:rPr>
            </w:pPr>
            <w:r w:rsidRPr="007C3C02">
              <w:rPr>
                <w:rFonts w:ascii="Arial Narrow" w:hAnsi="Arial Narrow"/>
              </w:rPr>
              <w:t>3</w:t>
            </w:r>
          </w:p>
        </w:tc>
        <w:tc>
          <w:tcPr>
            <w:tcW w:w="509" w:type="dxa"/>
            <w:tcBorders>
              <w:top w:val="nil"/>
              <w:left w:val="nil"/>
              <w:bottom w:val="double" w:sz="6" w:space="0" w:color="auto"/>
              <w:right w:val="single" w:sz="8" w:space="0" w:color="auto"/>
            </w:tcBorders>
            <w:vAlign w:val="bottom"/>
            <w:hideMark/>
          </w:tcPr>
          <w:p w14:paraId="56A82F14" w14:textId="6AA67505" w:rsidR="007C3C02" w:rsidRPr="007C3C02" w:rsidRDefault="007C3C02" w:rsidP="000D68E9">
            <w:pPr>
              <w:spacing w:after="120"/>
              <w:jc w:val="center"/>
              <w:rPr>
                <w:rFonts w:ascii="Arial Narrow" w:hAnsi="Arial Narrow"/>
              </w:rPr>
            </w:pPr>
            <w:r w:rsidRPr="007C3C02">
              <w:rPr>
                <w:rFonts w:ascii="Arial Narrow" w:hAnsi="Arial Narrow"/>
              </w:rPr>
              <w:t>4.1</w:t>
            </w:r>
          </w:p>
        </w:tc>
        <w:tc>
          <w:tcPr>
            <w:tcW w:w="614" w:type="dxa"/>
            <w:tcBorders>
              <w:top w:val="nil"/>
              <w:left w:val="nil"/>
              <w:bottom w:val="double" w:sz="6" w:space="0" w:color="auto"/>
              <w:right w:val="single" w:sz="8" w:space="0" w:color="auto"/>
            </w:tcBorders>
            <w:vAlign w:val="bottom"/>
            <w:hideMark/>
          </w:tcPr>
          <w:p w14:paraId="0D22F446" w14:textId="0EE43D20" w:rsidR="007C3C02" w:rsidRPr="007C3C02" w:rsidRDefault="007C3C02" w:rsidP="000D68E9">
            <w:pPr>
              <w:spacing w:after="120"/>
              <w:jc w:val="center"/>
              <w:rPr>
                <w:rFonts w:ascii="Arial Narrow" w:hAnsi="Arial Narrow"/>
                <w:strike/>
              </w:rPr>
            </w:pPr>
            <w:r w:rsidRPr="007C3C02">
              <w:rPr>
                <w:rFonts w:ascii="Arial Narrow" w:hAnsi="Arial Narrow"/>
                <w:strike/>
              </w:rPr>
              <w:t>4.2</w:t>
            </w:r>
          </w:p>
        </w:tc>
        <w:tc>
          <w:tcPr>
            <w:tcW w:w="599" w:type="dxa"/>
            <w:tcBorders>
              <w:top w:val="nil"/>
              <w:left w:val="nil"/>
              <w:bottom w:val="double" w:sz="6" w:space="0" w:color="auto"/>
              <w:right w:val="single" w:sz="8" w:space="0" w:color="auto"/>
            </w:tcBorders>
            <w:vAlign w:val="bottom"/>
            <w:hideMark/>
          </w:tcPr>
          <w:p w14:paraId="1101EB63" w14:textId="6509B536" w:rsidR="007C3C02" w:rsidRPr="007C3C02" w:rsidRDefault="007C3C02" w:rsidP="000D68E9">
            <w:pPr>
              <w:spacing w:after="120"/>
              <w:jc w:val="center"/>
              <w:rPr>
                <w:rFonts w:ascii="Arial Narrow" w:hAnsi="Arial Narrow"/>
              </w:rPr>
            </w:pPr>
            <w:r w:rsidRPr="007C3C02">
              <w:rPr>
                <w:rFonts w:ascii="Arial Narrow" w:hAnsi="Arial Narrow"/>
              </w:rPr>
              <w:t>4.3</w:t>
            </w:r>
          </w:p>
        </w:tc>
        <w:tc>
          <w:tcPr>
            <w:tcW w:w="749" w:type="dxa"/>
            <w:tcBorders>
              <w:top w:val="nil"/>
              <w:left w:val="nil"/>
              <w:bottom w:val="double" w:sz="6" w:space="0" w:color="auto"/>
              <w:right w:val="single" w:sz="8" w:space="0" w:color="auto"/>
            </w:tcBorders>
            <w:vAlign w:val="bottom"/>
            <w:hideMark/>
          </w:tcPr>
          <w:p w14:paraId="11AFF329" w14:textId="4079C87C" w:rsidR="007C3C02" w:rsidRPr="007C3C02" w:rsidRDefault="007C3C02" w:rsidP="000D68E9">
            <w:pPr>
              <w:spacing w:after="120"/>
              <w:jc w:val="center"/>
              <w:rPr>
                <w:rFonts w:ascii="Arial Narrow" w:hAnsi="Arial Narrow"/>
              </w:rPr>
            </w:pPr>
            <w:r w:rsidRPr="007C3C02">
              <w:rPr>
                <w:rFonts w:ascii="Arial Narrow" w:hAnsi="Arial Narrow"/>
              </w:rPr>
              <w:t>5.1</w:t>
            </w:r>
          </w:p>
        </w:tc>
        <w:tc>
          <w:tcPr>
            <w:tcW w:w="612" w:type="dxa"/>
            <w:tcBorders>
              <w:top w:val="nil"/>
              <w:left w:val="nil"/>
              <w:bottom w:val="double" w:sz="6" w:space="0" w:color="auto"/>
              <w:right w:val="single" w:sz="8" w:space="0" w:color="auto"/>
            </w:tcBorders>
            <w:vAlign w:val="bottom"/>
            <w:hideMark/>
          </w:tcPr>
          <w:p w14:paraId="2610163B" w14:textId="1B0D1E28" w:rsidR="007C3C02" w:rsidRPr="007C3C02" w:rsidRDefault="007C3C02" w:rsidP="000D68E9">
            <w:pPr>
              <w:spacing w:after="120"/>
              <w:jc w:val="center"/>
              <w:rPr>
                <w:rFonts w:ascii="Arial Narrow" w:hAnsi="Arial Narrow"/>
              </w:rPr>
            </w:pPr>
            <w:r w:rsidRPr="007C3C02">
              <w:rPr>
                <w:rFonts w:ascii="Arial Narrow" w:hAnsi="Arial Narrow"/>
                <w:b/>
                <w:bCs/>
              </w:rPr>
              <w:t>5.2</w:t>
            </w:r>
          </w:p>
          <w:p w14:paraId="5231A0F6" w14:textId="614AA797" w:rsidR="007C3C02" w:rsidRPr="007C3C02" w:rsidRDefault="007C3C02" w:rsidP="000D68E9">
            <w:pPr>
              <w:spacing w:after="120"/>
              <w:jc w:val="center"/>
              <w:rPr>
                <w:rFonts w:ascii="Arial Narrow" w:hAnsi="Arial Narrow"/>
              </w:rPr>
            </w:pPr>
            <w:r w:rsidRPr="007C3C02">
              <w:rPr>
                <w:rFonts w:ascii="Arial Narrow" w:hAnsi="Arial Narrow"/>
                <w:b/>
                <w:bCs/>
                <w:u w:val="single"/>
              </w:rPr>
              <w:t>Liquid</w:t>
            </w:r>
          </w:p>
        </w:tc>
        <w:tc>
          <w:tcPr>
            <w:tcW w:w="580" w:type="dxa"/>
            <w:tcBorders>
              <w:top w:val="nil"/>
              <w:left w:val="nil"/>
              <w:bottom w:val="double" w:sz="6" w:space="0" w:color="auto"/>
              <w:right w:val="single" w:sz="8" w:space="0" w:color="auto"/>
            </w:tcBorders>
            <w:hideMark/>
          </w:tcPr>
          <w:p w14:paraId="54F8DACD" w14:textId="080C3B81" w:rsidR="007C3C02" w:rsidRPr="007C3C02" w:rsidRDefault="007C3C02" w:rsidP="000D68E9">
            <w:pPr>
              <w:spacing w:after="120"/>
              <w:jc w:val="center"/>
              <w:rPr>
                <w:rFonts w:ascii="Arial Narrow" w:hAnsi="Arial Narrow"/>
              </w:rPr>
            </w:pPr>
            <w:r w:rsidRPr="007C3C02">
              <w:rPr>
                <w:rFonts w:ascii="Arial Narrow" w:hAnsi="Arial Narrow"/>
                <w:b/>
                <w:bCs/>
                <w:u w:val="single"/>
              </w:rPr>
              <w:t>5.2</w:t>
            </w:r>
          </w:p>
          <w:p w14:paraId="69EED7B7" w14:textId="585369B3" w:rsidR="007C3C02" w:rsidRPr="007C3C02" w:rsidRDefault="007C3C02" w:rsidP="000D68E9">
            <w:pPr>
              <w:spacing w:after="120"/>
              <w:jc w:val="center"/>
              <w:rPr>
                <w:rFonts w:ascii="Arial Narrow" w:hAnsi="Arial Narrow"/>
              </w:rPr>
            </w:pPr>
            <w:r w:rsidRPr="007C3C02">
              <w:rPr>
                <w:rFonts w:ascii="Arial Narrow" w:hAnsi="Arial Narrow"/>
                <w:b/>
                <w:bCs/>
                <w:u w:val="single"/>
              </w:rPr>
              <w:t>Solid</w:t>
            </w:r>
          </w:p>
        </w:tc>
        <w:tc>
          <w:tcPr>
            <w:tcW w:w="783" w:type="dxa"/>
            <w:tcBorders>
              <w:top w:val="nil"/>
              <w:left w:val="nil"/>
              <w:bottom w:val="double" w:sz="6" w:space="0" w:color="auto"/>
              <w:right w:val="single" w:sz="8" w:space="0" w:color="auto"/>
            </w:tcBorders>
            <w:vAlign w:val="bottom"/>
            <w:hideMark/>
          </w:tcPr>
          <w:p w14:paraId="0AD6813E" w14:textId="130AEDD1" w:rsidR="007C3C02" w:rsidRPr="007C3C02" w:rsidRDefault="007C3C02" w:rsidP="000D68E9">
            <w:pPr>
              <w:spacing w:after="120"/>
              <w:jc w:val="center"/>
              <w:rPr>
                <w:rFonts w:ascii="Arial Narrow" w:hAnsi="Arial Narrow"/>
              </w:rPr>
            </w:pPr>
            <w:r w:rsidRPr="007C3C02">
              <w:rPr>
                <w:rFonts w:ascii="Arial Narrow" w:hAnsi="Arial Narrow"/>
              </w:rPr>
              <w:t>6.1</w:t>
            </w:r>
          </w:p>
        </w:tc>
        <w:tc>
          <w:tcPr>
            <w:tcW w:w="493" w:type="dxa"/>
            <w:tcBorders>
              <w:top w:val="nil"/>
              <w:left w:val="nil"/>
              <w:bottom w:val="double" w:sz="6" w:space="0" w:color="auto"/>
              <w:right w:val="single" w:sz="8" w:space="0" w:color="auto"/>
            </w:tcBorders>
            <w:vAlign w:val="bottom"/>
            <w:hideMark/>
          </w:tcPr>
          <w:p w14:paraId="6228E15E" w14:textId="25523315" w:rsidR="007C3C02" w:rsidRPr="007C3C02" w:rsidRDefault="007C3C02" w:rsidP="000D68E9">
            <w:pPr>
              <w:spacing w:after="120"/>
              <w:jc w:val="center"/>
              <w:rPr>
                <w:rFonts w:ascii="Arial Narrow" w:hAnsi="Arial Narrow"/>
                <w:strike/>
              </w:rPr>
            </w:pPr>
            <w:r w:rsidRPr="007C3C02">
              <w:rPr>
                <w:rFonts w:ascii="Arial Narrow" w:hAnsi="Arial Narrow"/>
                <w:strike/>
              </w:rPr>
              <w:t>6.2</w:t>
            </w:r>
          </w:p>
        </w:tc>
        <w:tc>
          <w:tcPr>
            <w:tcW w:w="850" w:type="dxa"/>
            <w:tcBorders>
              <w:top w:val="nil"/>
              <w:left w:val="nil"/>
              <w:bottom w:val="double" w:sz="6" w:space="0" w:color="auto"/>
              <w:right w:val="single" w:sz="8" w:space="0" w:color="auto"/>
            </w:tcBorders>
            <w:vAlign w:val="bottom"/>
            <w:hideMark/>
          </w:tcPr>
          <w:p w14:paraId="555AB5AE" w14:textId="5D7E8365" w:rsidR="007C3C02" w:rsidRPr="007C3C02" w:rsidRDefault="007C3C02" w:rsidP="000D68E9">
            <w:pPr>
              <w:spacing w:after="120"/>
              <w:jc w:val="center"/>
              <w:rPr>
                <w:rFonts w:ascii="Arial Narrow" w:hAnsi="Arial Narrow"/>
              </w:rPr>
            </w:pPr>
            <w:r w:rsidRPr="007C3C02">
              <w:rPr>
                <w:rFonts w:ascii="Arial Narrow" w:hAnsi="Arial Narrow"/>
              </w:rPr>
              <w:t>8</w:t>
            </w:r>
          </w:p>
        </w:tc>
        <w:tc>
          <w:tcPr>
            <w:tcW w:w="567" w:type="dxa"/>
            <w:tcBorders>
              <w:top w:val="nil"/>
              <w:left w:val="nil"/>
              <w:bottom w:val="double" w:sz="6" w:space="0" w:color="auto"/>
              <w:right w:val="single" w:sz="8" w:space="0" w:color="auto"/>
            </w:tcBorders>
            <w:vAlign w:val="bottom"/>
            <w:hideMark/>
          </w:tcPr>
          <w:p w14:paraId="13F8A895" w14:textId="5983A091" w:rsidR="007C3C02" w:rsidRPr="007C3C02" w:rsidRDefault="007C3C02" w:rsidP="000D68E9">
            <w:pPr>
              <w:spacing w:after="120"/>
              <w:jc w:val="center"/>
              <w:rPr>
                <w:rFonts w:ascii="Arial Narrow" w:hAnsi="Arial Narrow"/>
              </w:rPr>
            </w:pPr>
            <w:r w:rsidRPr="007C3C02">
              <w:rPr>
                <w:rFonts w:ascii="Arial Narrow" w:hAnsi="Arial Narrow"/>
              </w:rPr>
              <w:t>9</w:t>
            </w:r>
          </w:p>
        </w:tc>
      </w:tr>
      <w:tr w:rsidR="0081061E" w:rsidRPr="0081061E" w14:paraId="360ECA96" w14:textId="77777777" w:rsidTr="00463BE3">
        <w:tc>
          <w:tcPr>
            <w:tcW w:w="810" w:type="dxa"/>
            <w:tcBorders>
              <w:top w:val="nil"/>
              <w:left w:val="single" w:sz="8" w:space="0" w:color="auto"/>
              <w:bottom w:val="single" w:sz="8" w:space="0" w:color="auto"/>
              <w:right w:val="single" w:sz="8" w:space="0" w:color="auto"/>
            </w:tcBorders>
            <w:vAlign w:val="center"/>
            <w:hideMark/>
          </w:tcPr>
          <w:p w14:paraId="47339C10" w14:textId="29B3C394" w:rsidR="007C3C02" w:rsidRPr="007C3C02" w:rsidRDefault="007C3C02" w:rsidP="000D68E9">
            <w:pPr>
              <w:spacing w:after="120"/>
              <w:jc w:val="center"/>
              <w:rPr>
                <w:rFonts w:ascii="Arial Narrow" w:hAnsi="Arial Narrow"/>
              </w:rPr>
            </w:pPr>
            <w:r w:rsidRPr="007C3C02">
              <w:rPr>
                <w:rFonts w:ascii="Arial Narrow" w:hAnsi="Arial Narrow"/>
              </w:rPr>
              <w:lastRenderedPageBreak/>
              <w:t>I</w:t>
            </w:r>
          </w:p>
        </w:tc>
        <w:tc>
          <w:tcPr>
            <w:tcW w:w="608" w:type="dxa"/>
            <w:vMerge w:val="restart"/>
            <w:tcBorders>
              <w:top w:val="nil"/>
              <w:left w:val="nil"/>
              <w:bottom w:val="single" w:sz="8" w:space="0" w:color="auto"/>
              <w:right w:val="single" w:sz="8" w:space="0" w:color="auto"/>
            </w:tcBorders>
            <w:tcMar>
              <w:left w:w="28" w:type="dxa"/>
              <w:right w:w="28" w:type="dxa"/>
            </w:tcMar>
            <w:vAlign w:val="center"/>
            <w:hideMark/>
          </w:tcPr>
          <w:p w14:paraId="21F6EB0E" w14:textId="77777777" w:rsidR="007C3C02" w:rsidRPr="007C3C02" w:rsidRDefault="007C3C02" w:rsidP="000D68E9">
            <w:pPr>
              <w:spacing w:after="120" w:line="240" w:lineRule="auto"/>
              <w:rPr>
                <w:rFonts w:ascii="Arial Narrow" w:hAnsi="Arial Narrow"/>
              </w:rPr>
            </w:pPr>
            <w:r w:rsidRPr="007C3C02">
              <w:rPr>
                <w:rFonts w:ascii="Arial Narrow" w:hAnsi="Arial Narrow"/>
              </w:rPr>
              <w:t>50 ml </w:t>
            </w:r>
          </w:p>
        </w:tc>
        <w:tc>
          <w:tcPr>
            <w:tcW w:w="650" w:type="dxa"/>
            <w:vMerge w:val="restart"/>
            <w:tcBorders>
              <w:top w:val="nil"/>
              <w:left w:val="nil"/>
              <w:bottom w:val="single" w:sz="8" w:space="0" w:color="auto"/>
              <w:right w:val="single" w:sz="8" w:space="0" w:color="auto"/>
            </w:tcBorders>
            <w:tcMar>
              <w:left w:w="28" w:type="dxa"/>
              <w:right w:w="28" w:type="dxa"/>
            </w:tcMar>
            <w:vAlign w:val="center"/>
            <w:hideMark/>
          </w:tcPr>
          <w:p w14:paraId="18A43861" w14:textId="77777777" w:rsidR="007C3C02" w:rsidRPr="007C3C02" w:rsidRDefault="007C3C02" w:rsidP="000D68E9">
            <w:pPr>
              <w:spacing w:after="120" w:line="240" w:lineRule="auto"/>
              <w:rPr>
                <w:rFonts w:ascii="Arial Narrow" w:hAnsi="Arial Narrow"/>
              </w:rPr>
            </w:pPr>
            <w:r w:rsidRPr="007C3C02">
              <w:rPr>
                <w:rFonts w:ascii="Arial Narrow" w:hAnsi="Arial Narrow"/>
              </w:rPr>
              <w:t>100 ml </w:t>
            </w:r>
          </w:p>
        </w:tc>
        <w:tc>
          <w:tcPr>
            <w:tcW w:w="626" w:type="dxa"/>
            <w:gridSpan w:val="2"/>
            <w:vMerge w:val="restart"/>
            <w:tcBorders>
              <w:top w:val="nil"/>
              <w:left w:val="nil"/>
              <w:bottom w:val="single" w:sz="8" w:space="0" w:color="auto"/>
              <w:right w:val="single" w:sz="8" w:space="0" w:color="auto"/>
            </w:tcBorders>
            <w:tcMar>
              <w:left w:w="28" w:type="dxa"/>
              <w:right w:w="28" w:type="dxa"/>
            </w:tcMar>
            <w:vAlign w:val="center"/>
            <w:hideMark/>
          </w:tcPr>
          <w:p w14:paraId="6F138EDE" w14:textId="4638CC90" w:rsidR="007C3C02" w:rsidRPr="007C3C02" w:rsidRDefault="007C3C02" w:rsidP="000D68E9">
            <w:pPr>
              <w:spacing w:after="120" w:line="240" w:lineRule="auto"/>
              <w:rPr>
                <w:rFonts w:ascii="Arial Narrow" w:hAnsi="Arial Narrow"/>
              </w:rPr>
            </w:pPr>
            <w:r w:rsidRPr="007C3C02">
              <w:rPr>
                <w:rFonts w:ascii="Arial Narrow" w:hAnsi="Arial Narrow"/>
              </w:rPr>
              <w:t>50 ml</w:t>
            </w:r>
          </w:p>
        </w:tc>
        <w:tc>
          <w:tcPr>
            <w:tcW w:w="589" w:type="dxa"/>
            <w:tcBorders>
              <w:top w:val="nil"/>
              <w:left w:val="nil"/>
              <w:bottom w:val="single" w:sz="8" w:space="0" w:color="auto"/>
              <w:right w:val="single" w:sz="8" w:space="0" w:color="auto"/>
            </w:tcBorders>
            <w:tcMar>
              <w:left w:w="28" w:type="dxa"/>
              <w:right w:w="28" w:type="dxa"/>
            </w:tcMar>
            <w:vAlign w:val="center"/>
            <w:hideMark/>
          </w:tcPr>
          <w:p w14:paraId="5C5CCC3D" w14:textId="77777777" w:rsidR="007C3C02" w:rsidRPr="007C3C02" w:rsidRDefault="007C3C02" w:rsidP="000D68E9">
            <w:pPr>
              <w:spacing w:after="120" w:line="240" w:lineRule="auto"/>
              <w:rPr>
                <w:rFonts w:ascii="Arial Narrow" w:hAnsi="Arial Narrow"/>
              </w:rPr>
            </w:pPr>
            <w:r w:rsidRPr="007C3C02">
              <w:rPr>
                <w:rFonts w:ascii="Arial Narrow" w:hAnsi="Arial Narrow"/>
              </w:rPr>
              <w:t>20 ml </w:t>
            </w:r>
          </w:p>
        </w:tc>
        <w:tc>
          <w:tcPr>
            <w:tcW w:w="509" w:type="dxa"/>
            <w:tcBorders>
              <w:top w:val="nil"/>
              <w:left w:val="nil"/>
              <w:bottom w:val="single" w:sz="8" w:space="0" w:color="auto"/>
              <w:right w:val="single" w:sz="8" w:space="0" w:color="auto"/>
            </w:tcBorders>
            <w:tcMar>
              <w:left w:w="28" w:type="dxa"/>
              <w:right w:w="28" w:type="dxa"/>
            </w:tcMar>
            <w:vAlign w:val="center"/>
            <w:hideMark/>
          </w:tcPr>
          <w:p w14:paraId="6F142815" w14:textId="77777777" w:rsidR="007C3C02" w:rsidRPr="007C3C02" w:rsidRDefault="007C3C02" w:rsidP="000D68E9">
            <w:pPr>
              <w:spacing w:after="120" w:line="240" w:lineRule="auto"/>
              <w:rPr>
                <w:rFonts w:ascii="Arial Narrow" w:hAnsi="Arial Narrow"/>
              </w:rPr>
            </w:pPr>
            <w:r w:rsidRPr="007C3C02">
              <w:rPr>
                <w:rFonts w:ascii="Arial Narrow" w:hAnsi="Arial Narrow"/>
              </w:rPr>
              <w:t>20 g </w:t>
            </w:r>
          </w:p>
        </w:tc>
        <w:tc>
          <w:tcPr>
            <w:tcW w:w="614" w:type="dxa"/>
            <w:tcBorders>
              <w:top w:val="nil"/>
              <w:left w:val="nil"/>
              <w:bottom w:val="single" w:sz="8" w:space="0" w:color="auto"/>
              <w:right w:val="single" w:sz="8" w:space="0" w:color="auto"/>
            </w:tcBorders>
            <w:tcMar>
              <w:left w:w="28" w:type="dxa"/>
              <w:right w:w="28" w:type="dxa"/>
            </w:tcMar>
            <w:vAlign w:val="center"/>
            <w:hideMark/>
          </w:tcPr>
          <w:p w14:paraId="7352AB5B" w14:textId="77777777" w:rsidR="007C3C02" w:rsidRPr="007C3C02" w:rsidRDefault="007C3C02" w:rsidP="000D68E9">
            <w:pPr>
              <w:spacing w:after="120" w:line="240" w:lineRule="auto"/>
              <w:rPr>
                <w:rFonts w:ascii="Arial Narrow" w:hAnsi="Arial Narrow"/>
                <w:strike/>
              </w:rPr>
            </w:pPr>
            <w:r w:rsidRPr="007C3C02">
              <w:rPr>
                <w:rFonts w:ascii="Arial Narrow" w:hAnsi="Arial Narrow"/>
                <w:strike/>
              </w:rPr>
              <w:t>20 g </w:t>
            </w:r>
          </w:p>
        </w:tc>
        <w:tc>
          <w:tcPr>
            <w:tcW w:w="599" w:type="dxa"/>
            <w:tcBorders>
              <w:top w:val="nil"/>
              <w:left w:val="nil"/>
              <w:bottom w:val="single" w:sz="8" w:space="0" w:color="auto"/>
              <w:right w:val="single" w:sz="8" w:space="0" w:color="auto"/>
            </w:tcBorders>
            <w:tcMar>
              <w:left w:w="28" w:type="dxa"/>
              <w:right w:w="28" w:type="dxa"/>
            </w:tcMar>
            <w:vAlign w:val="center"/>
            <w:hideMark/>
          </w:tcPr>
          <w:p w14:paraId="4584BA78" w14:textId="77777777" w:rsidR="007C3C02" w:rsidRPr="007C3C02" w:rsidRDefault="007C3C02" w:rsidP="000D68E9">
            <w:pPr>
              <w:spacing w:after="120" w:line="240" w:lineRule="auto"/>
              <w:rPr>
                <w:rFonts w:ascii="Arial Narrow" w:hAnsi="Arial Narrow"/>
              </w:rPr>
            </w:pPr>
            <w:r w:rsidRPr="007C3C02">
              <w:rPr>
                <w:rFonts w:ascii="Arial Narrow" w:hAnsi="Arial Narrow"/>
              </w:rPr>
              <w:t>20 g </w:t>
            </w:r>
          </w:p>
        </w:tc>
        <w:tc>
          <w:tcPr>
            <w:tcW w:w="749" w:type="dxa"/>
            <w:tcBorders>
              <w:top w:val="nil"/>
              <w:left w:val="nil"/>
              <w:bottom w:val="single" w:sz="8" w:space="0" w:color="auto"/>
              <w:right w:val="single" w:sz="8" w:space="0" w:color="auto"/>
            </w:tcBorders>
            <w:tcMar>
              <w:left w:w="28" w:type="dxa"/>
              <w:right w:w="28" w:type="dxa"/>
            </w:tcMar>
            <w:vAlign w:val="center"/>
            <w:hideMark/>
          </w:tcPr>
          <w:p w14:paraId="0FF2638A" w14:textId="77777777" w:rsidR="007C3C02" w:rsidRPr="007C3C02" w:rsidRDefault="007C3C02" w:rsidP="000D68E9">
            <w:pPr>
              <w:spacing w:after="120" w:line="240" w:lineRule="auto"/>
              <w:rPr>
                <w:rFonts w:ascii="Arial Narrow" w:hAnsi="Arial Narrow"/>
              </w:rPr>
            </w:pPr>
            <w:r w:rsidRPr="007C3C02">
              <w:rPr>
                <w:rFonts w:ascii="Arial Narrow" w:hAnsi="Arial Narrow"/>
              </w:rPr>
              <w:t>20 g(ml) </w:t>
            </w:r>
          </w:p>
        </w:tc>
        <w:tc>
          <w:tcPr>
            <w:tcW w:w="612" w:type="dxa"/>
            <w:vMerge w:val="restart"/>
            <w:tcBorders>
              <w:top w:val="nil"/>
              <w:left w:val="nil"/>
              <w:bottom w:val="single" w:sz="8" w:space="0" w:color="auto"/>
              <w:right w:val="single" w:sz="8" w:space="0" w:color="auto"/>
            </w:tcBorders>
            <w:tcMar>
              <w:left w:w="28" w:type="dxa"/>
              <w:right w:w="28" w:type="dxa"/>
            </w:tcMar>
            <w:vAlign w:val="center"/>
            <w:hideMark/>
          </w:tcPr>
          <w:p w14:paraId="60E165B8" w14:textId="77777777" w:rsidR="007C3C02" w:rsidRPr="007C3C02" w:rsidRDefault="007C3C02" w:rsidP="000D68E9">
            <w:pPr>
              <w:spacing w:after="120" w:line="240" w:lineRule="auto"/>
              <w:rPr>
                <w:rFonts w:ascii="Arial Narrow" w:hAnsi="Arial Narrow"/>
                <w:strike/>
              </w:rPr>
            </w:pPr>
            <w:r w:rsidRPr="007C3C02">
              <w:rPr>
                <w:rFonts w:ascii="Arial Narrow" w:hAnsi="Arial Narrow"/>
                <w:strike/>
              </w:rPr>
              <w:t>150 g(ml) </w:t>
            </w:r>
          </w:p>
        </w:tc>
        <w:tc>
          <w:tcPr>
            <w:tcW w:w="580" w:type="dxa"/>
            <w:vMerge w:val="restart"/>
            <w:tcBorders>
              <w:top w:val="nil"/>
              <w:left w:val="nil"/>
              <w:bottom w:val="single" w:sz="8" w:space="0" w:color="auto"/>
              <w:right w:val="single" w:sz="8" w:space="0" w:color="auto"/>
            </w:tcBorders>
            <w:tcMar>
              <w:left w:w="28" w:type="dxa"/>
              <w:right w:w="28" w:type="dxa"/>
            </w:tcMar>
            <w:hideMark/>
          </w:tcPr>
          <w:p w14:paraId="420833B6"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783" w:type="dxa"/>
            <w:tcBorders>
              <w:top w:val="nil"/>
              <w:left w:val="nil"/>
              <w:bottom w:val="single" w:sz="8" w:space="0" w:color="auto"/>
              <w:right w:val="single" w:sz="8" w:space="0" w:color="auto"/>
            </w:tcBorders>
            <w:tcMar>
              <w:left w:w="28" w:type="dxa"/>
              <w:right w:w="28" w:type="dxa"/>
            </w:tcMar>
            <w:vAlign w:val="center"/>
            <w:hideMark/>
          </w:tcPr>
          <w:p w14:paraId="4FB4AE39" w14:textId="77777777" w:rsidR="007C3C02" w:rsidRPr="007C3C02" w:rsidRDefault="007C3C02" w:rsidP="000D68E9">
            <w:pPr>
              <w:spacing w:after="120" w:line="240" w:lineRule="auto"/>
              <w:rPr>
                <w:rFonts w:ascii="Arial Narrow" w:hAnsi="Arial Narrow"/>
              </w:rPr>
            </w:pPr>
            <w:r w:rsidRPr="007C3C02">
              <w:rPr>
                <w:rFonts w:ascii="Arial Narrow" w:hAnsi="Arial Narrow"/>
              </w:rPr>
              <w:t>20 g(ml) </w:t>
            </w:r>
          </w:p>
        </w:tc>
        <w:tc>
          <w:tcPr>
            <w:tcW w:w="493" w:type="dxa"/>
            <w:vMerge w:val="restart"/>
            <w:tcBorders>
              <w:top w:val="nil"/>
              <w:left w:val="nil"/>
              <w:bottom w:val="single" w:sz="8" w:space="0" w:color="auto"/>
              <w:right w:val="single" w:sz="8" w:space="0" w:color="auto"/>
            </w:tcBorders>
            <w:tcMar>
              <w:left w:w="28" w:type="dxa"/>
              <w:right w:w="28" w:type="dxa"/>
            </w:tcMar>
            <w:vAlign w:val="center"/>
            <w:hideMark/>
          </w:tcPr>
          <w:p w14:paraId="618CAA21"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850" w:type="dxa"/>
            <w:tcBorders>
              <w:top w:val="nil"/>
              <w:left w:val="nil"/>
              <w:bottom w:val="single" w:sz="8" w:space="0" w:color="auto"/>
              <w:right w:val="single" w:sz="8" w:space="0" w:color="auto"/>
            </w:tcBorders>
            <w:tcMar>
              <w:left w:w="28" w:type="dxa"/>
              <w:right w:w="28" w:type="dxa"/>
            </w:tcMar>
            <w:vAlign w:val="center"/>
            <w:hideMark/>
          </w:tcPr>
          <w:p w14:paraId="6C67A3A1" w14:textId="7B3EB29C" w:rsidR="007C3C02" w:rsidRPr="007C3C02" w:rsidRDefault="007C3C02" w:rsidP="000D68E9">
            <w:pPr>
              <w:spacing w:after="120" w:line="240" w:lineRule="auto"/>
              <w:rPr>
                <w:rFonts w:ascii="Arial Narrow" w:hAnsi="Arial Narrow"/>
              </w:rPr>
            </w:pPr>
            <w:r w:rsidRPr="007C3C02">
              <w:rPr>
                <w:rFonts w:ascii="Arial Narrow" w:hAnsi="Arial Narrow"/>
              </w:rPr>
              <w:t>20</w:t>
            </w:r>
            <w:r w:rsidRPr="007C3C02">
              <w:rPr>
                <w:rFonts w:ascii="Arial" w:hAnsi="Arial" w:cs="Arial"/>
              </w:rPr>
              <w:t> </w:t>
            </w:r>
            <w:r w:rsidRPr="007C3C02">
              <w:rPr>
                <w:rFonts w:ascii="Arial Narrow" w:hAnsi="Arial Narrow"/>
              </w:rPr>
              <w:t>g(ml)</w:t>
            </w:r>
            <w:r w:rsidRPr="007C3C02">
              <w:rPr>
                <w:rFonts w:ascii="Arial Narrow" w:hAnsi="Arial Narrow" w:cs="Arial Narrow"/>
              </w:rPr>
              <w:t> </w:t>
            </w:r>
          </w:p>
        </w:tc>
        <w:tc>
          <w:tcPr>
            <w:tcW w:w="567" w:type="dxa"/>
            <w:tcBorders>
              <w:top w:val="nil"/>
              <w:left w:val="nil"/>
              <w:bottom w:val="single" w:sz="8" w:space="0" w:color="auto"/>
              <w:right w:val="single" w:sz="8" w:space="0" w:color="auto"/>
            </w:tcBorders>
            <w:vAlign w:val="center"/>
            <w:hideMark/>
          </w:tcPr>
          <w:p w14:paraId="5EFD4A0D" w14:textId="79439555" w:rsidR="007C3C02" w:rsidRPr="007C3C02" w:rsidRDefault="007C3C02" w:rsidP="000D68E9">
            <w:pPr>
              <w:spacing w:after="120"/>
              <w:jc w:val="center"/>
              <w:rPr>
                <w:rFonts w:ascii="Arial Narrow" w:hAnsi="Arial Narrow"/>
              </w:rPr>
            </w:pPr>
            <w:r w:rsidRPr="007C3C02">
              <w:rPr>
                <w:rFonts w:ascii="Arial Narrow" w:hAnsi="Arial Narrow"/>
              </w:rPr>
              <w:t>—</w:t>
            </w:r>
          </w:p>
        </w:tc>
      </w:tr>
      <w:tr w:rsidR="0081061E" w:rsidRPr="0081061E" w14:paraId="27973E69" w14:textId="77777777" w:rsidTr="00463BE3">
        <w:tc>
          <w:tcPr>
            <w:tcW w:w="810" w:type="dxa"/>
            <w:tcBorders>
              <w:top w:val="nil"/>
              <w:left w:val="single" w:sz="8" w:space="0" w:color="auto"/>
              <w:bottom w:val="single" w:sz="8" w:space="0" w:color="auto"/>
              <w:right w:val="single" w:sz="8" w:space="0" w:color="auto"/>
            </w:tcBorders>
            <w:vAlign w:val="center"/>
            <w:hideMark/>
          </w:tcPr>
          <w:p w14:paraId="707EAB9D" w14:textId="7062C3A1" w:rsidR="007C3C02" w:rsidRPr="007C3C02" w:rsidRDefault="007C3C02" w:rsidP="000D68E9">
            <w:pPr>
              <w:spacing w:after="120"/>
              <w:jc w:val="center"/>
              <w:rPr>
                <w:rFonts w:ascii="Arial Narrow" w:hAnsi="Arial Narrow"/>
              </w:rPr>
            </w:pPr>
            <w:r w:rsidRPr="007C3C02">
              <w:rPr>
                <w:rFonts w:ascii="Arial Narrow" w:hAnsi="Arial Narrow"/>
              </w:rPr>
              <w:t>II</w:t>
            </w:r>
          </w:p>
        </w:tc>
        <w:tc>
          <w:tcPr>
            <w:tcW w:w="608" w:type="dxa"/>
            <w:vMerge/>
            <w:tcBorders>
              <w:top w:val="nil"/>
              <w:left w:val="nil"/>
              <w:bottom w:val="single" w:sz="8" w:space="0" w:color="auto"/>
              <w:right w:val="single" w:sz="8" w:space="0" w:color="auto"/>
            </w:tcBorders>
            <w:tcMar>
              <w:left w:w="28" w:type="dxa"/>
              <w:right w:w="28" w:type="dxa"/>
            </w:tcMar>
            <w:vAlign w:val="center"/>
            <w:hideMark/>
          </w:tcPr>
          <w:p w14:paraId="468A9F0B" w14:textId="77777777" w:rsidR="007C3C02" w:rsidRPr="007C3C02" w:rsidRDefault="007C3C02" w:rsidP="000D68E9">
            <w:pPr>
              <w:spacing w:after="120" w:line="240" w:lineRule="auto"/>
              <w:rPr>
                <w:rFonts w:ascii="Arial Narrow" w:hAnsi="Arial Narrow"/>
              </w:rPr>
            </w:pPr>
          </w:p>
        </w:tc>
        <w:tc>
          <w:tcPr>
            <w:tcW w:w="650" w:type="dxa"/>
            <w:vMerge/>
            <w:tcBorders>
              <w:top w:val="nil"/>
              <w:left w:val="nil"/>
              <w:bottom w:val="single" w:sz="8" w:space="0" w:color="auto"/>
              <w:right w:val="single" w:sz="8" w:space="0" w:color="auto"/>
            </w:tcBorders>
            <w:tcMar>
              <w:left w:w="28" w:type="dxa"/>
              <w:right w:w="28" w:type="dxa"/>
            </w:tcMar>
            <w:vAlign w:val="center"/>
            <w:hideMark/>
          </w:tcPr>
          <w:p w14:paraId="4F045052" w14:textId="77777777" w:rsidR="007C3C02" w:rsidRPr="007C3C02" w:rsidRDefault="007C3C02" w:rsidP="000D68E9">
            <w:pPr>
              <w:spacing w:after="120" w:line="240" w:lineRule="auto"/>
              <w:rPr>
                <w:rFonts w:ascii="Arial Narrow" w:hAnsi="Arial Narrow"/>
              </w:rPr>
            </w:pPr>
          </w:p>
        </w:tc>
        <w:tc>
          <w:tcPr>
            <w:tcW w:w="626" w:type="dxa"/>
            <w:gridSpan w:val="2"/>
            <w:vMerge/>
            <w:tcBorders>
              <w:top w:val="nil"/>
              <w:left w:val="nil"/>
              <w:bottom w:val="single" w:sz="8" w:space="0" w:color="auto"/>
              <w:right w:val="single" w:sz="8" w:space="0" w:color="auto"/>
            </w:tcBorders>
            <w:tcMar>
              <w:left w:w="28" w:type="dxa"/>
              <w:right w:w="28" w:type="dxa"/>
            </w:tcMar>
            <w:vAlign w:val="center"/>
            <w:hideMark/>
          </w:tcPr>
          <w:p w14:paraId="738A4622" w14:textId="77777777" w:rsidR="007C3C02" w:rsidRPr="007C3C02" w:rsidRDefault="007C3C02" w:rsidP="000D68E9">
            <w:pPr>
              <w:spacing w:after="120" w:line="240" w:lineRule="auto"/>
              <w:rPr>
                <w:rFonts w:ascii="Arial Narrow" w:hAnsi="Arial Narrow"/>
              </w:rPr>
            </w:pPr>
          </w:p>
        </w:tc>
        <w:tc>
          <w:tcPr>
            <w:tcW w:w="589" w:type="dxa"/>
            <w:tcBorders>
              <w:top w:val="nil"/>
              <w:left w:val="nil"/>
              <w:bottom w:val="single" w:sz="8" w:space="0" w:color="auto"/>
              <w:right w:val="single" w:sz="8" w:space="0" w:color="auto"/>
            </w:tcBorders>
            <w:tcMar>
              <w:left w:w="28" w:type="dxa"/>
              <w:right w:w="28" w:type="dxa"/>
            </w:tcMar>
            <w:vAlign w:val="center"/>
            <w:hideMark/>
          </w:tcPr>
          <w:p w14:paraId="1AB17938" w14:textId="77777777" w:rsidR="007C3C02" w:rsidRPr="007C3C02" w:rsidRDefault="007C3C02" w:rsidP="000D68E9">
            <w:pPr>
              <w:spacing w:after="120" w:line="240" w:lineRule="auto"/>
              <w:rPr>
                <w:rFonts w:ascii="Arial Narrow" w:hAnsi="Arial Narrow"/>
              </w:rPr>
            </w:pPr>
            <w:r w:rsidRPr="007C3C02">
              <w:rPr>
                <w:rFonts w:ascii="Arial Narrow" w:hAnsi="Arial Narrow"/>
              </w:rPr>
              <w:t>150 ml </w:t>
            </w:r>
          </w:p>
        </w:tc>
        <w:tc>
          <w:tcPr>
            <w:tcW w:w="509" w:type="dxa"/>
            <w:vMerge w:val="restart"/>
            <w:tcBorders>
              <w:top w:val="nil"/>
              <w:left w:val="nil"/>
              <w:bottom w:val="single" w:sz="8" w:space="0" w:color="auto"/>
              <w:right w:val="single" w:sz="8" w:space="0" w:color="auto"/>
            </w:tcBorders>
            <w:tcMar>
              <w:left w:w="28" w:type="dxa"/>
              <w:right w:w="28" w:type="dxa"/>
            </w:tcMar>
            <w:vAlign w:val="center"/>
            <w:hideMark/>
          </w:tcPr>
          <w:p w14:paraId="25841E5B" w14:textId="77777777" w:rsidR="007C3C02" w:rsidRPr="007C3C02" w:rsidRDefault="007C3C02" w:rsidP="000D68E9">
            <w:pPr>
              <w:spacing w:after="120" w:line="240" w:lineRule="auto"/>
              <w:rPr>
                <w:rFonts w:ascii="Arial Narrow" w:hAnsi="Arial Narrow"/>
              </w:rPr>
            </w:pPr>
            <w:r w:rsidRPr="007C3C02">
              <w:rPr>
                <w:rFonts w:ascii="Arial Narrow" w:hAnsi="Arial Narrow"/>
              </w:rPr>
              <w:t>2 kg </w:t>
            </w:r>
          </w:p>
        </w:tc>
        <w:tc>
          <w:tcPr>
            <w:tcW w:w="614" w:type="dxa"/>
            <w:vMerge w:val="restart"/>
            <w:tcBorders>
              <w:top w:val="nil"/>
              <w:left w:val="nil"/>
              <w:bottom w:val="single" w:sz="8" w:space="0" w:color="auto"/>
              <w:right w:val="single" w:sz="8" w:space="0" w:color="auto"/>
            </w:tcBorders>
            <w:tcMar>
              <w:left w:w="28" w:type="dxa"/>
              <w:right w:w="28" w:type="dxa"/>
            </w:tcMar>
            <w:vAlign w:val="center"/>
            <w:hideMark/>
          </w:tcPr>
          <w:p w14:paraId="588D47B3" w14:textId="77777777" w:rsidR="007C3C02" w:rsidRPr="007C3C02" w:rsidRDefault="007C3C02" w:rsidP="000D68E9">
            <w:pPr>
              <w:spacing w:after="120" w:line="240" w:lineRule="auto"/>
              <w:rPr>
                <w:rFonts w:ascii="Arial Narrow" w:hAnsi="Arial Narrow"/>
                <w:strike/>
              </w:rPr>
            </w:pPr>
            <w:r w:rsidRPr="007C3C02">
              <w:rPr>
                <w:rFonts w:ascii="Arial Narrow" w:hAnsi="Arial Narrow"/>
                <w:strike/>
              </w:rPr>
              <w:t>500 g </w:t>
            </w:r>
          </w:p>
        </w:tc>
        <w:tc>
          <w:tcPr>
            <w:tcW w:w="599" w:type="dxa"/>
            <w:vMerge w:val="restart"/>
            <w:tcBorders>
              <w:top w:val="nil"/>
              <w:left w:val="nil"/>
              <w:bottom w:val="single" w:sz="8" w:space="0" w:color="auto"/>
              <w:right w:val="single" w:sz="8" w:space="0" w:color="auto"/>
            </w:tcBorders>
            <w:tcMar>
              <w:left w:w="28" w:type="dxa"/>
              <w:right w:w="28" w:type="dxa"/>
            </w:tcMar>
            <w:vAlign w:val="center"/>
            <w:hideMark/>
          </w:tcPr>
          <w:p w14:paraId="3F04722C" w14:textId="77777777" w:rsidR="007C3C02" w:rsidRPr="007C3C02" w:rsidRDefault="007C3C02" w:rsidP="000D68E9">
            <w:pPr>
              <w:spacing w:after="120" w:line="240" w:lineRule="auto"/>
              <w:rPr>
                <w:rFonts w:ascii="Arial Narrow" w:hAnsi="Arial Narrow"/>
              </w:rPr>
            </w:pPr>
            <w:r w:rsidRPr="007C3C02">
              <w:rPr>
                <w:rFonts w:ascii="Arial Narrow" w:hAnsi="Arial Narrow"/>
              </w:rPr>
              <w:t>150 g </w:t>
            </w:r>
          </w:p>
        </w:tc>
        <w:tc>
          <w:tcPr>
            <w:tcW w:w="749" w:type="dxa"/>
            <w:vMerge w:val="restart"/>
            <w:tcBorders>
              <w:top w:val="nil"/>
              <w:left w:val="nil"/>
              <w:bottom w:val="single" w:sz="8" w:space="0" w:color="auto"/>
              <w:right w:val="single" w:sz="8" w:space="0" w:color="auto"/>
            </w:tcBorders>
            <w:tcMar>
              <w:left w:w="28" w:type="dxa"/>
              <w:right w:w="28" w:type="dxa"/>
            </w:tcMar>
            <w:vAlign w:val="center"/>
            <w:hideMark/>
          </w:tcPr>
          <w:p w14:paraId="289CDB27" w14:textId="77777777" w:rsidR="007C3C02" w:rsidRPr="007C3C02" w:rsidRDefault="007C3C02" w:rsidP="000D68E9">
            <w:pPr>
              <w:spacing w:after="120" w:line="240" w:lineRule="auto"/>
              <w:rPr>
                <w:rFonts w:ascii="Arial Narrow" w:hAnsi="Arial Narrow"/>
              </w:rPr>
            </w:pPr>
            <w:r w:rsidRPr="007C3C02">
              <w:rPr>
                <w:rFonts w:ascii="Arial Narrow" w:hAnsi="Arial Narrow"/>
              </w:rPr>
              <w:t>1 kg(L) </w:t>
            </w:r>
          </w:p>
        </w:tc>
        <w:tc>
          <w:tcPr>
            <w:tcW w:w="612" w:type="dxa"/>
            <w:vMerge/>
            <w:tcBorders>
              <w:top w:val="nil"/>
              <w:left w:val="nil"/>
              <w:bottom w:val="single" w:sz="8" w:space="0" w:color="auto"/>
              <w:right w:val="single" w:sz="8" w:space="0" w:color="auto"/>
            </w:tcBorders>
            <w:tcMar>
              <w:left w:w="28" w:type="dxa"/>
              <w:right w:w="28" w:type="dxa"/>
            </w:tcMar>
            <w:vAlign w:val="center"/>
            <w:hideMark/>
          </w:tcPr>
          <w:p w14:paraId="2490207D" w14:textId="77777777" w:rsidR="007C3C02" w:rsidRPr="007C3C02" w:rsidRDefault="007C3C02" w:rsidP="000D68E9">
            <w:pPr>
              <w:spacing w:after="120" w:line="240" w:lineRule="auto"/>
              <w:rPr>
                <w:rFonts w:ascii="Arial Narrow" w:hAnsi="Arial Narrow"/>
              </w:rPr>
            </w:pPr>
          </w:p>
        </w:tc>
        <w:tc>
          <w:tcPr>
            <w:tcW w:w="580" w:type="dxa"/>
            <w:vMerge/>
            <w:tcBorders>
              <w:top w:val="nil"/>
              <w:left w:val="nil"/>
              <w:bottom w:val="single" w:sz="8" w:space="0" w:color="auto"/>
              <w:right w:val="single" w:sz="8" w:space="0" w:color="auto"/>
            </w:tcBorders>
            <w:tcMar>
              <w:left w:w="28" w:type="dxa"/>
              <w:right w:w="28" w:type="dxa"/>
            </w:tcMar>
            <w:vAlign w:val="center"/>
            <w:hideMark/>
          </w:tcPr>
          <w:p w14:paraId="483B3387" w14:textId="77777777" w:rsidR="007C3C02" w:rsidRPr="007C3C02" w:rsidRDefault="007C3C02" w:rsidP="000D68E9">
            <w:pPr>
              <w:spacing w:after="120" w:line="240" w:lineRule="auto"/>
              <w:rPr>
                <w:rFonts w:ascii="Arial Narrow" w:hAnsi="Arial Narrow"/>
              </w:rPr>
            </w:pPr>
          </w:p>
        </w:tc>
        <w:tc>
          <w:tcPr>
            <w:tcW w:w="783" w:type="dxa"/>
            <w:vMerge w:val="restart"/>
            <w:tcBorders>
              <w:top w:val="nil"/>
              <w:left w:val="nil"/>
              <w:bottom w:val="single" w:sz="8" w:space="0" w:color="auto"/>
              <w:right w:val="single" w:sz="8" w:space="0" w:color="auto"/>
            </w:tcBorders>
            <w:tcMar>
              <w:left w:w="28" w:type="dxa"/>
              <w:right w:w="28" w:type="dxa"/>
            </w:tcMar>
            <w:vAlign w:val="center"/>
            <w:hideMark/>
          </w:tcPr>
          <w:p w14:paraId="22348CE6" w14:textId="77777777" w:rsidR="007C3C02" w:rsidRPr="007C3C02" w:rsidRDefault="007C3C02" w:rsidP="000D68E9">
            <w:pPr>
              <w:spacing w:after="120" w:line="240" w:lineRule="auto"/>
              <w:rPr>
                <w:rFonts w:ascii="Arial Narrow" w:hAnsi="Arial Narrow"/>
              </w:rPr>
            </w:pPr>
            <w:r w:rsidRPr="007C3C02">
              <w:rPr>
                <w:rFonts w:ascii="Arial Narrow" w:hAnsi="Arial Narrow"/>
              </w:rPr>
              <w:t>500 g(ml) </w:t>
            </w:r>
          </w:p>
        </w:tc>
        <w:tc>
          <w:tcPr>
            <w:tcW w:w="493" w:type="dxa"/>
            <w:vMerge/>
            <w:tcBorders>
              <w:top w:val="nil"/>
              <w:left w:val="nil"/>
              <w:bottom w:val="single" w:sz="8" w:space="0" w:color="auto"/>
              <w:right w:val="single" w:sz="8" w:space="0" w:color="auto"/>
            </w:tcBorders>
            <w:tcMar>
              <w:left w:w="28" w:type="dxa"/>
              <w:right w:w="28" w:type="dxa"/>
            </w:tcMar>
            <w:vAlign w:val="center"/>
            <w:hideMark/>
          </w:tcPr>
          <w:p w14:paraId="550E18A3" w14:textId="77777777" w:rsidR="007C3C02" w:rsidRPr="007C3C02" w:rsidRDefault="007C3C02" w:rsidP="000D68E9">
            <w:pPr>
              <w:spacing w:after="120" w:line="240" w:lineRule="auto"/>
              <w:rPr>
                <w:rFonts w:ascii="Arial Narrow" w:hAnsi="Arial Narrow"/>
              </w:rPr>
            </w:pPr>
          </w:p>
        </w:tc>
        <w:tc>
          <w:tcPr>
            <w:tcW w:w="850" w:type="dxa"/>
            <w:vMerge w:val="restart"/>
            <w:tcBorders>
              <w:top w:val="nil"/>
              <w:left w:val="nil"/>
              <w:bottom w:val="single" w:sz="8" w:space="0" w:color="auto"/>
              <w:right w:val="single" w:sz="8" w:space="0" w:color="auto"/>
            </w:tcBorders>
            <w:tcMar>
              <w:left w:w="28" w:type="dxa"/>
              <w:right w:w="28" w:type="dxa"/>
            </w:tcMar>
            <w:vAlign w:val="center"/>
            <w:hideMark/>
          </w:tcPr>
          <w:p w14:paraId="18D41130" w14:textId="2F56F5BF" w:rsidR="007C3C02" w:rsidRPr="007C3C02" w:rsidRDefault="007C3C02" w:rsidP="000D68E9">
            <w:pPr>
              <w:spacing w:after="120" w:line="240" w:lineRule="auto"/>
              <w:rPr>
                <w:rFonts w:ascii="Arial Narrow" w:hAnsi="Arial Narrow"/>
              </w:rPr>
            </w:pPr>
            <w:r w:rsidRPr="007C3C02">
              <w:rPr>
                <w:rFonts w:ascii="Arial Narrow" w:hAnsi="Arial Narrow"/>
              </w:rPr>
              <w:t>500</w:t>
            </w:r>
            <w:r w:rsidRPr="007C3C02">
              <w:rPr>
                <w:rFonts w:ascii="Arial" w:hAnsi="Arial" w:cs="Arial"/>
              </w:rPr>
              <w:t> </w:t>
            </w:r>
            <w:r w:rsidRPr="007C3C02">
              <w:rPr>
                <w:rFonts w:ascii="Arial Narrow" w:hAnsi="Arial Narrow"/>
              </w:rPr>
              <w:t>g(ml)</w:t>
            </w:r>
            <w:r w:rsidRPr="007C3C02">
              <w:rPr>
                <w:rFonts w:ascii="Arial Narrow" w:hAnsi="Arial Narrow" w:cs="Arial Narrow"/>
              </w:rPr>
              <w:t> </w:t>
            </w:r>
          </w:p>
        </w:tc>
        <w:tc>
          <w:tcPr>
            <w:tcW w:w="567" w:type="dxa"/>
            <w:vMerge w:val="restart"/>
            <w:tcBorders>
              <w:top w:val="nil"/>
              <w:left w:val="nil"/>
              <w:bottom w:val="single" w:sz="8" w:space="0" w:color="auto"/>
              <w:right w:val="single" w:sz="8" w:space="0" w:color="auto"/>
            </w:tcBorders>
            <w:vAlign w:val="center"/>
            <w:hideMark/>
          </w:tcPr>
          <w:p w14:paraId="1AA42E77" w14:textId="77777777" w:rsidR="007C3C02" w:rsidRPr="007C3C02" w:rsidRDefault="007C3C02" w:rsidP="000D68E9">
            <w:pPr>
              <w:spacing w:after="120"/>
              <w:rPr>
                <w:rFonts w:ascii="Arial Narrow" w:hAnsi="Arial Narrow"/>
              </w:rPr>
            </w:pPr>
            <w:r w:rsidRPr="007C3C02">
              <w:rPr>
                <w:rFonts w:ascii="Arial Narrow" w:hAnsi="Arial Narrow"/>
              </w:rPr>
              <w:t>2kg(L) </w:t>
            </w:r>
          </w:p>
        </w:tc>
      </w:tr>
      <w:tr w:rsidR="0081061E" w:rsidRPr="0081061E" w14:paraId="3A1EC71C" w14:textId="77777777" w:rsidTr="00463BE3">
        <w:tc>
          <w:tcPr>
            <w:tcW w:w="810" w:type="dxa"/>
            <w:tcBorders>
              <w:top w:val="nil"/>
              <w:left w:val="single" w:sz="8" w:space="0" w:color="auto"/>
              <w:bottom w:val="single" w:sz="8" w:space="0" w:color="auto"/>
              <w:right w:val="single" w:sz="8" w:space="0" w:color="auto"/>
            </w:tcBorders>
            <w:vAlign w:val="center"/>
            <w:hideMark/>
          </w:tcPr>
          <w:p w14:paraId="7041F7F1" w14:textId="17F7E08A" w:rsidR="007C3C02" w:rsidRPr="007C3C02" w:rsidRDefault="007C3C02" w:rsidP="000D68E9">
            <w:pPr>
              <w:spacing w:after="120"/>
              <w:jc w:val="center"/>
              <w:rPr>
                <w:rFonts w:ascii="Arial Narrow" w:hAnsi="Arial Narrow"/>
              </w:rPr>
            </w:pPr>
            <w:r w:rsidRPr="007C3C02">
              <w:rPr>
                <w:rFonts w:ascii="Arial Narrow" w:hAnsi="Arial Narrow"/>
              </w:rPr>
              <w:t>III</w:t>
            </w:r>
          </w:p>
        </w:tc>
        <w:tc>
          <w:tcPr>
            <w:tcW w:w="608" w:type="dxa"/>
            <w:vMerge/>
            <w:tcBorders>
              <w:top w:val="nil"/>
              <w:left w:val="nil"/>
              <w:bottom w:val="single" w:sz="8" w:space="0" w:color="auto"/>
              <w:right w:val="single" w:sz="8" w:space="0" w:color="auto"/>
            </w:tcBorders>
            <w:tcMar>
              <w:left w:w="28" w:type="dxa"/>
              <w:right w:w="28" w:type="dxa"/>
            </w:tcMar>
            <w:vAlign w:val="center"/>
            <w:hideMark/>
          </w:tcPr>
          <w:p w14:paraId="2DD1C26D" w14:textId="77777777" w:rsidR="007C3C02" w:rsidRPr="007C3C02" w:rsidRDefault="007C3C02" w:rsidP="000D68E9">
            <w:pPr>
              <w:spacing w:after="120" w:line="240" w:lineRule="auto"/>
              <w:rPr>
                <w:rFonts w:ascii="Arial Narrow" w:hAnsi="Arial Narrow"/>
              </w:rPr>
            </w:pPr>
          </w:p>
        </w:tc>
        <w:tc>
          <w:tcPr>
            <w:tcW w:w="650" w:type="dxa"/>
            <w:vMerge/>
            <w:tcBorders>
              <w:top w:val="nil"/>
              <w:left w:val="nil"/>
              <w:bottom w:val="single" w:sz="8" w:space="0" w:color="auto"/>
              <w:right w:val="single" w:sz="8" w:space="0" w:color="auto"/>
            </w:tcBorders>
            <w:tcMar>
              <w:left w:w="28" w:type="dxa"/>
              <w:right w:w="28" w:type="dxa"/>
            </w:tcMar>
            <w:vAlign w:val="center"/>
            <w:hideMark/>
          </w:tcPr>
          <w:p w14:paraId="631C9C66" w14:textId="77777777" w:rsidR="007C3C02" w:rsidRPr="007C3C02" w:rsidRDefault="007C3C02" w:rsidP="000D68E9">
            <w:pPr>
              <w:spacing w:after="120" w:line="240" w:lineRule="auto"/>
              <w:rPr>
                <w:rFonts w:ascii="Arial Narrow" w:hAnsi="Arial Narrow"/>
              </w:rPr>
            </w:pPr>
          </w:p>
        </w:tc>
        <w:tc>
          <w:tcPr>
            <w:tcW w:w="626" w:type="dxa"/>
            <w:gridSpan w:val="2"/>
            <w:vMerge/>
            <w:tcBorders>
              <w:top w:val="nil"/>
              <w:left w:val="nil"/>
              <w:bottom w:val="single" w:sz="8" w:space="0" w:color="auto"/>
              <w:right w:val="single" w:sz="8" w:space="0" w:color="auto"/>
            </w:tcBorders>
            <w:tcMar>
              <w:left w:w="28" w:type="dxa"/>
              <w:right w:w="28" w:type="dxa"/>
            </w:tcMar>
            <w:vAlign w:val="center"/>
            <w:hideMark/>
          </w:tcPr>
          <w:p w14:paraId="5BA8D5DC" w14:textId="77777777" w:rsidR="007C3C02" w:rsidRPr="007C3C02" w:rsidRDefault="007C3C02" w:rsidP="000D68E9">
            <w:pPr>
              <w:spacing w:after="120" w:line="240" w:lineRule="auto"/>
              <w:rPr>
                <w:rFonts w:ascii="Arial Narrow" w:hAnsi="Arial Narrow"/>
              </w:rPr>
            </w:pPr>
          </w:p>
        </w:tc>
        <w:tc>
          <w:tcPr>
            <w:tcW w:w="589" w:type="dxa"/>
            <w:tcBorders>
              <w:top w:val="nil"/>
              <w:left w:val="nil"/>
              <w:bottom w:val="single" w:sz="8" w:space="0" w:color="auto"/>
              <w:right w:val="single" w:sz="8" w:space="0" w:color="auto"/>
            </w:tcBorders>
            <w:tcMar>
              <w:left w:w="28" w:type="dxa"/>
              <w:right w:w="28" w:type="dxa"/>
            </w:tcMar>
            <w:vAlign w:val="center"/>
            <w:hideMark/>
          </w:tcPr>
          <w:p w14:paraId="77214CD5" w14:textId="77777777" w:rsidR="007C3C02" w:rsidRPr="007C3C02" w:rsidRDefault="007C3C02" w:rsidP="000D68E9">
            <w:pPr>
              <w:spacing w:after="120" w:line="240" w:lineRule="auto"/>
              <w:rPr>
                <w:rFonts w:ascii="Arial Narrow" w:hAnsi="Arial Narrow"/>
              </w:rPr>
            </w:pPr>
            <w:r w:rsidRPr="007C3C02">
              <w:rPr>
                <w:rFonts w:ascii="Arial Narrow" w:hAnsi="Arial Narrow"/>
              </w:rPr>
              <w:t>300 ml</w:t>
            </w:r>
            <w:r w:rsidRPr="007C3C02">
              <w:rPr>
                <w:rFonts w:ascii="Arial Narrow" w:hAnsi="Arial Narrow"/>
                <w:b/>
                <w:bCs/>
                <w:vertAlign w:val="superscript"/>
              </w:rPr>
              <w:t>a</w:t>
            </w:r>
            <w:r w:rsidRPr="007C3C02">
              <w:rPr>
                <w:rFonts w:ascii="Arial Narrow" w:hAnsi="Arial Narrow"/>
              </w:rPr>
              <w:t> </w:t>
            </w:r>
          </w:p>
        </w:tc>
        <w:tc>
          <w:tcPr>
            <w:tcW w:w="509" w:type="dxa"/>
            <w:vMerge/>
            <w:tcBorders>
              <w:top w:val="nil"/>
              <w:left w:val="nil"/>
              <w:bottom w:val="single" w:sz="8" w:space="0" w:color="auto"/>
              <w:right w:val="single" w:sz="8" w:space="0" w:color="auto"/>
            </w:tcBorders>
            <w:tcMar>
              <w:left w:w="28" w:type="dxa"/>
              <w:right w:w="28" w:type="dxa"/>
            </w:tcMar>
            <w:vAlign w:val="center"/>
            <w:hideMark/>
          </w:tcPr>
          <w:p w14:paraId="538D8781" w14:textId="77777777" w:rsidR="007C3C02" w:rsidRPr="007C3C02" w:rsidRDefault="007C3C02" w:rsidP="000D68E9">
            <w:pPr>
              <w:spacing w:after="120" w:line="240" w:lineRule="auto"/>
              <w:rPr>
                <w:rFonts w:ascii="Arial Narrow" w:hAnsi="Arial Narrow"/>
              </w:rPr>
            </w:pPr>
          </w:p>
        </w:tc>
        <w:tc>
          <w:tcPr>
            <w:tcW w:w="614" w:type="dxa"/>
            <w:vMerge/>
            <w:tcBorders>
              <w:top w:val="nil"/>
              <w:left w:val="nil"/>
              <w:bottom w:val="single" w:sz="8" w:space="0" w:color="auto"/>
              <w:right w:val="single" w:sz="8" w:space="0" w:color="auto"/>
            </w:tcBorders>
            <w:tcMar>
              <w:left w:w="28" w:type="dxa"/>
              <w:right w:w="28" w:type="dxa"/>
            </w:tcMar>
            <w:vAlign w:val="center"/>
            <w:hideMark/>
          </w:tcPr>
          <w:p w14:paraId="77945114" w14:textId="77777777" w:rsidR="007C3C02" w:rsidRPr="007C3C02" w:rsidRDefault="007C3C02" w:rsidP="000D68E9">
            <w:pPr>
              <w:spacing w:after="120" w:line="240" w:lineRule="auto"/>
              <w:rPr>
                <w:rFonts w:ascii="Arial Narrow" w:hAnsi="Arial Narrow"/>
              </w:rPr>
            </w:pPr>
          </w:p>
        </w:tc>
        <w:tc>
          <w:tcPr>
            <w:tcW w:w="599" w:type="dxa"/>
            <w:vMerge/>
            <w:tcBorders>
              <w:top w:val="nil"/>
              <w:left w:val="nil"/>
              <w:bottom w:val="single" w:sz="8" w:space="0" w:color="auto"/>
              <w:right w:val="single" w:sz="8" w:space="0" w:color="auto"/>
            </w:tcBorders>
            <w:tcMar>
              <w:left w:w="28" w:type="dxa"/>
              <w:right w:w="28" w:type="dxa"/>
            </w:tcMar>
            <w:vAlign w:val="center"/>
            <w:hideMark/>
          </w:tcPr>
          <w:p w14:paraId="0FF757B7" w14:textId="77777777" w:rsidR="007C3C02" w:rsidRPr="007C3C02" w:rsidRDefault="007C3C02" w:rsidP="000D68E9">
            <w:pPr>
              <w:spacing w:after="120" w:line="240" w:lineRule="auto"/>
              <w:rPr>
                <w:rFonts w:ascii="Arial Narrow" w:hAnsi="Arial Narrow"/>
              </w:rPr>
            </w:pPr>
          </w:p>
        </w:tc>
        <w:tc>
          <w:tcPr>
            <w:tcW w:w="749" w:type="dxa"/>
            <w:vMerge/>
            <w:tcBorders>
              <w:top w:val="nil"/>
              <w:left w:val="nil"/>
              <w:bottom w:val="single" w:sz="8" w:space="0" w:color="auto"/>
              <w:right w:val="single" w:sz="8" w:space="0" w:color="auto"/>
            </w:tcBorders>
            <w:tcMar>
              <w:left w:w="28" w:type="dxa"/>
              <w:right w:w="28" w:type="dxa"/>
            </w:tcMar>
            <w:vAlign w:val="center"/>
            <w:hideMark/>
          </w:tcPr>
          <w:p w14:paraId="1EECCD3E" w14:textId="77777777" w:rsidR="007C3C02" w:rsidRPr="007C3C02" w:rsidRDefault="007C3C02" w:rsidP="000D68E9">
            <w:pPr>
              <w:spacing w:after="120" w:line="240" w:lineRule="auto"/>
              <w:rPr>
                <w:rFonts w:ascii="Arial Narrow" w:hAnsi="Arial Narrow"/>
              </w:rPr>
            </w:pPr>
          </w:p>
        </w:tc>
        <w:tc>
          <w:tcPr>
            <w:tcW w:w="612" w:type="dxa"/>
            <w:vMerge/>
            <w:tcBorders>
              <w:top w:val="nil"/>
              <w:left w:val="nil"/>
              <w:bottom w:val="single" w:sz="8" w:space="0" w:color="auto"/>
              <w:right w:val="single" w:sz="8" w:space="0" w:color="auto"/>
            </w:tcBorders>
            <w:tcMar>
              <w:left w:w="28" w:type="dxa"/>
              <w:right w:w="28" w:type="dxa"/>
            </w:tcMar>
            <w:vAlign w:val="center"/>
            <w:hideMark/>
          </w:tcPr>
          <w:p w14:paraId="7D8A7B1E" w14:textId="77777777" w:rsidR="007C3C02" w:rsidRPr="007C3C02" w:rsidRDefault="007C3C02" w:rsidP="000D68E9">
            <w:pPr>
              <w:spacing w:after="120" w:line="240" w:lineRule="auto"/>
              <w:rPr>
                <w:rFonts w:ascii="Arial Narrow" w:hAnsi="Arial Narrow"/>
              </w:rPr>
            </w:pPr>
          </w:p>
        </w:tc>
        <w:tc>
          <w:tcPr>
            <w:tcW w:w="580" w:type="dxa"/>
            <w:vMerge/>
            <w:tcBorders>
              <w:top w:val="nil"/>
              <w:left w:val="nil"/>
              <w:bottom w:val="single" w:sz="8" w:space="0" w:color="auto"/>
              <w:right w:val="single" w:sz="8" w:space="0" w:color="auto"/>
            </w:tcBorders>
            <w:tcMar>
              <w:left w:w="28" w:type="dxa"/>
              <w:right w:w="28" w:type="dxa"/>
            </w:tcMar>
            <w:vAlign w:val="center"/>
            <w:hideMark/>
          </w:tcPr>
          <w:p w14:paraId="44A2258F" w14:textId="77777777" w:rsidR="007C3C02" w:rsidRPr="007C3C02" w:rsidRDefault="007C3C02" w:rsidP="000D68E9">
            <w:pPr>
              <w:spacing w:after="120" w:line="240" w:lineRule="auto"/>
              <w:rPr>
                <w:rFonts w:ascii="Arial Narrow" w:hAnsi="Arial Narrow"/>
              </w:rPr>
            </w:pPr>
          </w:p>
        </w:tc>
        <w:tc>
          <w:tcPr>
            <w:tcW w:w="783" w:type="dxa"/>
            <w:vMerge/>
            <w:tcBorders>
              <w:top w:val="nil"/>
              <w:left w:val="nil"/>
              <w:bottom w:val="single" w:sz="8" w:space="0" w:color="auto"/>
              <w:right w:val="single" w:sz="8" w:space="0" w:color="auto"/>
            </w:tcBorders>
            <w:tcMar>
              <w:left w:w="28" w:type="dxa"/>
              <w:right w:w="28" w:type="dxa"/>
            </w:tcMar>
            <w:vAlign w:val="center"/>
            <w:hideMark/>
          </w:tcPr>
          <w:p w14:paraId="1B87BBF0" w14:textId="77777777" w:rsidR="007C3C02" w:rsidRPr="007C3C02" w:rsidRDefault="007C3C02" w:rsidP="000D68E9">
            <w:pPr>
              <w:spacing w:after="120" w:line="240" w:lineRule="auto"/>
              <w:rPr>
                <w:rFonts w:ascii="Arial Narrow" w:hAnsi="Arial Narrow"/>
              </w:rPr>
            </w:pPr>
          </w:p>
        </w:tc>
        <w:tc>
          <w:tcPr>
            <w:tcW w:w="493" w:type="dxa"/>
            <w:vMerge/>
            <w:tcBorders>
              <w:top w:val="nil"/>
              <w:left w:val="nil"/>
              <w:bottom w:val="single" w:sz="8" w:space="0" w:color="auto"/>
              <w:right w:val="single" w:sz="8" w:space="0" w:color="auto"/>
            </w:tcBorders>
            <w:tcMar>
              <w:left w:w="28" w:type="dxa"/>
              <w:right w:w="28" w:type="dxa"/>
            </w:tcMar>
            <w:vAlign w:val="center"/>
            <w:hideMark/>
          </w:tcPr>
          <w:p w14:paraId="4141A9A0" w14:textId="77777777" w:rsidR="007C3C02" w:rsidRPr="007C3C02" w:rsidRDefault="007C3C02" w:rsidP="000D68E9">
            <w:pPr>
              <w:spacing w:after="120" w:line="240" w:lineRule="auto"/>
              <w:rPr>
                <w:rFonts w:ascii="Arial Narrow" w:hAnsi="Arial Narrow"/>
              </w:rPr>
            </w:pPr>
          </w:p>
        </w:tc>
        <w:tc>
          <w:tcPr>
            <w:tcW w:w="850" w:type="dxa"/>
            <w:vMerge/>
            <w:tcBorders>
              <w:top w:val="nil"/>
              <w:left w:val="nil"/>
              <w:bottom w:val="single" w:sz="8" w:space="0" w:color="auto"/>
              <w:right w:val="single" w:sz="8" w:space="0" w:color="auto"/>
            </w:tcBorders>
            <w:tcMar>
              <w:left w:w="28" w:type="dxa"/>
              <w:right w:w="28" w:type="dxa"/>
            </w:tcMar>
            <w:vAlign w:val="center"/>
            <w:hideMark/>
          </w:tcPr>
          <w:p w14:paraId="0F1524E3" w14:textId="77777777" w:rsidR="007C3C02" w:rsidRPr="007C3C02" w:rsidRDefault="007C3C02" w:rsidP="000D68E9">
            <w:pPr>
              <w:spacing w:after="120" w:line="240" w:lineRule="auto"/>
              <w:rPr>
                <w:rFonts w:ascii="Arial Narrow" w:hAnsi="Arial Narrow"/>
              </w:rPr>
            </w:pPr>
          </w:p>
        </w:tc>
        <w:tc>
          <w:tcPr>
            <w:tcW w:w="567" w:type="dxa"/>
            <w:vMerge/>
            <w:tcBorders>
              <w:top w:val="nil"/>
              <w:left w:val="nil"/>
              <w:bottom w:val="single" w:sz="8" w:space="0" w:color="auto"/>
              <w:right w:val="single" w:sz="8" w:space="0" w:color="auto"/>
            </w:tcBorders>
            <w:vAlign w:val="center"/>
            <w:hideMark/>
          </w:tcPr>
          <w:p w14:paraId="3934D010" w14:textId="77777777" w:rsidR="007C3C02" w:rsidRPr="007C3C02" w:rsidRDefault="007C3C02" w:rsidP="000D68E9">
            <w:pPr>
              <w:spacing w:after="120"/>
              <w:rPr>
                <w:rFonts w:ascii="Arial Narrow" w:hAnsi="Arial Narrow"/>
              </w:rPr>
            </w:pPr>
          </w:p>
        </w:tc>
      </w:tr>
      <w:tr w:rsidR="0081061E" w:rsidRPr="0081061E" w14:paraId="03662116" w14:textId="77777777" w:rsidTr="00463BE3">
        <w:tc>
          <w:tcPr>
            <w:tcW w:w="810" w:type="dxa"/>
            <w:tcBorders>
              <w:top w:val="nil"/>
              <w:left w:val="single" w:sz="8" w:space="0" w:color="auto"/>
              <w:bottom w:val="single" w:sz="8" w:space="0" w:color="auto"/>
              <w:right w:val="single" w:sz="8" w:space="0" w:color="auto"/>
            </w:tcBorders>
            <w:vAlign w:val="center"/>
            <w:hideMark/>
          </w:tcPr>
          <w:p w14:paraId="49C95A15" w14:textId="77777777" w:rsidR="007C3C02" w:rsidRPr="007C3C02" w:rsidRDefault="007C3C02" w:rsidP="000D68E9">
            <w:pPr>
              <w:spacing w:after="120"/>
              <w:rPr>
                <w:rFonts w:ascii="Arial Narrow" w:hAnsi="Arial Narrow"/>
              </w:rPr>
            </w:pPr>
            <w:r w:rsidRPr="007C3C02">
              <w:rPr>
                <w:rFonts w:ascii="Arial Narrow" w:hAnsi="Arial Narrow"/>
                <w:b/>
                <w:bCs/>
                <w:u w:val="single"/>
              </w:rPr>
              <w:t>Types B or C</w:t>
            </w:r>
            <w:r w:rsidRPr="007C3C02">
              <w:rPr>
                <w:rFonts w:ascii="Arial Narrow" w:hAnsi="Arial Narrow"/>
              </w:rPr>
              <w:t> </w:t>
            </w:r>
          </w:p>
        </w:tc>
        <w:tc>
          <w:tcPr>
            <w:tcW w:w="608" w:type="dxa"/>
            <w:tcBorders>
              <w:top w:val="nil"/>
              <w:left w:val="nil"/>
              <w:bottom w:val="single" w:sz="8" w:space="0" w:color="auto"/>
              <w:right w:val="single" w:sz="8" w:space="0" w:color="auto"/>
            </w:tcBorders>
            <w:tcMar>
              <w:left w:w="28" w:type="dxa"/>
              <w:right w:w="28" w:type="dxa"/>
            </w:tcMar>
            <w:vAlign w:val="center"/>
            <w:hideMark/>
          </w:tcPr>
          <w:p w14:paraId="4C91BA75"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650" w:type="dxa"/>
            <w:tcBorders>
              <w:top w:val="nil"/>
              <w:left w:val="nil"/>
              <w:bottom w:val="single" w:sz="8" w:space="0" w:color="auto"/>
              <w:right w:val="single" w:sz="8" w:space="0" w:color="auto"/>
            </w:tcBorders>
            <w:tcMar>
              <w:left w:w="28" w:type="dxa"/>
              <w:right w:w="28" w:type="dxa"/>
            </w:tcMar>
            <w:vAlign w:val="center"/>
            <w:hideMark/>
          </w:tcPr>
          <w:p w14:paraId="0DAB0AC0"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626" w:type="dxa"/>
            <w:gridSpan w:val="2"/>
            <w:tcBorders>
              <w:top w:val="nil"/>
              <w:left w:val="nil"/>
              <w:bottom w:val="single" w:sz="8" w:space="0" w:color="auto"/>
              <w:right w:val="single" w:sz="8" w:space="0" w:color="auto"/>
            </w:tcBorders>
            <w:tcMar>
              <w:left w:w="28" w:type="dxa"/>
              <w:right w:w="28" w:type="dxa"/>
            </w:tcMar>
            <w:vAlign w:val="center"/>
            <w:hideMark/>
          </w:tcPr>
          <w:p w14:paraId="75C81EF8"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589" w:type="dxa"/>
            <w:tcBorders>
              <w:top w:val="nil"/>
              <w:left w:val="nil"/>
              <w:bottom w:val="single" w:sz="8" w:space="0" w:color="auto"/>
              <w:right w:val="single" w:sz="8" w:space="0" w:color="auto"/>
            </w:tcBorders>
            <w:tcMar>
              <w:left w:w="28" w:type="dxa"/>
              <w:right w:w="28" w:type="dxa"/>
            </w:tcMar>
            <w:vAlign w:val="center"/>
            <w:hideMark/>
          </w:tcPr>
          <w:p w14:paraId="19590B47"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509" w:type="dxa"/>
            <w:tcBorders>
              <w:top w:val="nil"/>
              <w:left w:val="nil"/>
              <w:bottom w:val="single" w:sz="8" w:space="0" w:color="auto"/>
              <w:right w:val="single" w:sz="8" w:space="0" w:color="auto"/>
            </w:tcBorders>
            <w:tcMar>
              <w:left w:w="28" w:type="dxa"/>
              <w:right w:w="28" w:type="dxa"/>
            </w:tcMar>
            <w:vAlign w:val="center"/>
            <w:hideMark/>
          </w:tcPr>
          <w:p w14:paraId="08126DF3"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614" w:type="dxa"/>
            <w:tcBorders>
              <w:top w:val="nil"/>
              <w:left w:val="nil"/>
              <w:bottom w:val="single" w:sz="8" w:space="0" w:color="auto"/>
              <w:right w:val="single" w:sz="8" w:space="0" w:color="auto"/>
            </w:tcBorders>
            <w:tcMar>
              <w:left w:w="28" w:type="dxa"/>
              <w:right w:w="28" w:type="dxa"/>
            </w:tcMar>
            <w:vAlign w:val="center"/>
            <w:hideMark/>
          </w:tcPr>
          <w:p w14:paraId="4610BDDF"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599" w:type="dxa"/>
            <w:tcBorders>
              <w:top w:val="nil"/>
              <w:left w:val="nil"/>
              <w:bottom w:val="single" w:sz="8" w:space="0" w:color="auto"/>
              <w:right w:val="single" w:sz="8" w:space="0" w:color="auto"/>
            </w:tcBorders>
            <w:tcMar>
              <w:left w:w="28" w:type="dxa"/>
              <w:right w:w="28" w:type="dxa"/>
            </w:tcMar>
            <w:vAlign w:val="center"/>
            <w:hideMark/>
          </w:tcPr>
          <w:p w14:paraId="0B50EF81"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749" w:type="dxa"/>
            <w:tcBorders>
              <w:top w:val="nil"/>
              <w:left w:val="nil"/>
              <w:bottom w:val="single" w:sz="8" w:space="0" w:color="auto"/>
              <w:right w:val="single" w:sz="8" w:space="0" w:color="auto"/>
            </w:tcBorders>
            <w:tcMar>
              <w:left w:w="28" w:type="dxa"/>
              <w:right w:w="28" w:type="dxa"/>
            </w:tcMar>
            <w:vAlign w:val="center"/>
            <w:hideMark/>
          </w:tcPr>
          <w:p w14:paraId="3B00D306"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612" w:type="dxa"/>
            <w:tcBorders>
              <w:top w:val="nil"/>
              <w:left w:val="nil"/>
              <w:bottom w:val="single" w:sz="8" w:space="0" w:color="auto"/>
              <w:right w:val="single" w:sz="8" w:space="0" w:color="auto"/>
            </w:tcBorders>
            <w:tcMar>
              <w:left w:w="28" w:type="dxa"/>
              <w:right w:w="28" w:type="dxa"/>
            </w:tcMar>
            <w:vAlign w:val="center"/>
            <w:hideMark/>
          </w:tcPr>
          <w:p w14:paraId="29AC58A2" w14:textId="77777777" w:rsidR="007C3C02" w:rsidRPr="007C3C02" w:rsidRDefault="007C3C02" w:rsidP="000D68E9">
            <w:pPr>
              <w:spacing w:after="120" w:line="240" w:lineRule="auto"/>
              <w:rPr>
                <w:rFonts w:ascii="Arial Narrow" w:hAnsi="Arial Narrow"/>
              </w:rPr>
            </w:pPr>
            <w:r w:rsidRPr="007C3C02">
              <w:rPr>
                <w:rFonts w:ascii="Arial Narrow" w:hAnsi="Arial Narrow"/>
                <w:b/>
                <w:bCs/>
                <w:u w:val="single"/>
              </w:rPr>
              <w:t>25 ml</w:t>
            </w:r>
            <w:r w:rsidRPr="007C3C02">
              <w:rPr>
                <w:rFonts w:ascii="Arial Narrow" w:hAnsi="Arial Narrow"/>
              </w:rPr>
              <w:t> </w:t>
            </w:r>
          </w:p>
        </w:tc>
        <w:tc>
          <w:tcPr>
            <w:tcW w:w="580" w:type="dxa"/>
            <w:tcBorders>
              <w:top w:val="nil"/>
              <w:left w:val="nil"/>
              <w:bottom w:val="single" w:sz="8" w:space="0" w:color="auto"/>
              <w:right w:val="single" w:sz="8" w:space="0" w:color="auto"/>
            </w:tcBorders>
            <w:tcMar>
              <w:left w:w="28" w:type="dxa"/>
              <w:right w:w="28" w:type="dxa"/>
            </w:tcMar>
            <w:vAlign w:val="center"/>
            <w:hideMark/>
          </w:tcPr>
          <w:p w14:paraId="53D11551" w14:textId="77777777" w:rsidR="007C3C02" w:rsidRPr="007C3C02" w:rsidRDefault="007C3C02" w:rsidP="000D68E9">
            <w:pPr>
              <w:spacing w:after="120" w:line="240" w:lineRule="auto"/>
              <w:rPr>
                <w:rFonts w:ascii="Arial Narrow" w:hAnsi="Arial Narrow"/>
              </w:rPr>
            </w:pPr>
            <w:r w:rsidRPr="007C3C02">
              <w:rPr>
                <w:rFonts w:ascii="Arial Narrow" w:hAnsi="Arial Narrow"/>
                <w:b/>
                <w:bCs/>
                <w:u w:val="single"/>
              </w:rPr>
              <w:t>100 gm</w:t>
            </w:r>
            <w:r w:rsidRPr="007C3C02">
              <w:rPr>
                <w:rFonts w:ascii="Arial Narrow" w:hAnsi="Arial Narrow"/>
              </w:rPr>
              <w:t> </w:t>
            </w:r>
          </w:p>
        </w:tc>
        <w:tc>
          <w:tcPr>
            <w:tcW w:w="783" w:type="dxa"/>
            <w:tcBorders>
              <w:top w:val="nil"/>
              <w:left w:val="nil"/>
              <w:bottom w:val="single" w:sz="8" w:space="0" w:color="auto"/>
              <w:right w:val="single" w:sz="8" w:space="0" w:color="auto"/>
            </w:tcBorders>
            <w:tcMar>
              <w:left w:w="28" w:type="dxa"/>
              <w:right w:w="28" w:type="dxa"/>
            </w:tcMar>
            <w:vAlign w:val="center"/>
            <w:hideMark/>
          </w:tcPr>
          <w:p w14:paraId="172BB5CC"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493" w:type="dxa"/>
            <w:tcBorders>
              <w:top w:val="nil"/>
              <w:left w:val="nil"/>
              <w:bottom w:val="single" w:sz="8" w:space="0" w:color="auto"/>
              <w:right w:val="single" w:sz="8" w:space="0" w:color="auto"/>
            </w:tcBorders>
            <w:tcMar>
              <w:left w:w="28" w:type="dxa"/>
              <w:right w:w="28" w:type="dxa"/>
            </w:tcMar>
            <w:vAlign w:val="center"/>
            <w:hideMark/>
          </w:tcPr>
          <w:p w14:paraId="02E9FFC5"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850" w:type="dxa"/>
            <w:tcBorders>
              <w:top w:val="nil"/>
              <w:left w:val="nil"/>
              <w:bottom w:val="single" w:sz="8" w:space="0" w:color="auto"/>
              <w:right w:val="single" w:sz="8" w:space="0" w:color="auto"/>
            </w:tcBorders>
            <w:tcMar>
              <w:left w:w="28" w:type="dxa"/>
              <w:right w:w="28" w:type="dxa"/>
            </w:tcMar>
            <w:vAlign w:val="center"/>
            <w:hideMark/>
          </w:tcPr>
          <w:p w14:paraId="6605E5EE"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567" w:type="dxa"/>
            <w:tcBorders>
              <w:top w:val="nil"/>
              <w:left w:val="nil"/>
              <w:bottom w:val="single" w:sz="8" w:space="0" w:color="auto"/>
              <w:right w:val="single" w:sz="8" w:space="0" w:color="auto"/>
            </w:tcBorders>
            <w:vAlign w:val="center"/>
            <w:hideMark/>
          </w:tcPr>
          <w:p w14:paraId="0B52D29A" w14:textId="77777777" w:rsidR="007C3C02" w:rsidRPr="007C3C02" w:rsidRDefault="007C3C02" w:rsidP="000D68E9">
            <w:pPr>
              <w:spacing w:after="120"/>
              <w:rPr>
                <w:rFonts w:ascii="Arial Narrow" w:hAnsi="Arial Narrow"/>
              </w:rPr>
            </w:pPr>
            <w:r w:rsidRPr="007C3C02">
              <w:rPr>
                <w:rFonts w:ascii="Arial Narrow" w:hAnsi="Arial Narrow"/>
              </w:rPr>
              <w:t> </w:t>
            </w:r>
          </w:p>
        </w:tc>
      </w:tr>
      <w:tr w:rsidR="0081061E" w:rsidRPr="0081061E" w14:paraId="2BF08AF5" w14:textId="77777777" w:rsidTr="00463BE3">
        <w:tc>
          <w:tcPr>
            <w:tcW w:w="810" w:type="dxa"/>
            <w:tcBorders>
              <w:top w:val="nil"/>
              <w:left w:val="single" w:sz="8" w:space="0" w:color="auto"/>
              <w:bottom w:val="single" w:sz="8" w:space="0" w:color="auto"/>
              <w:right w:val="single" w:sz="8" w:space="0" w:color="auto"/>
            </w:tcBorders>
            <w:vAlign w:val="center"/>
            <w:hideMark/>
          </w:tcPr>
          <w:p w14:paraId="000FF2E2" w14:textId="77777777" w:rsidR="007C3C02" w:rsidRPr="007C3C02" w:rsidRDefault="007C3C02" w:rsidP="000D68E9">
            <w:pPr>
              <w:spacing w:after="120"/>
              <w:rPr>
                <w:rFonts w:ascii="Arial Narrow" w:hAnsi="Arial Narrow"/>
              </w:rPr>
            </w:pPr>
            <w:r w:rsidRPr="007C3C02">
              <w:rPr>
                <w:rFonts w:ascii="Arial Narrow" w:hAnsi="Arial Narrow"/>
                <w:b/>
                <w:bCs/>
                <w:u w:val="single"/>
              </w:rPr>
              <w:t>Types D, E or F</w:t>
            </w:r>
            <w:r w:rsidRPr="007C3C02">
              <w:rPr>
                <w:rFonts w:ascii="Arial Narrow" w:hAnsi="Arial Narrow"/>
              </w:rPr>
              <w:t> </w:t>
            </w:r>
          </w:p>
        </w:tc>
        <w:tc>
          <w:tcPr>
            <w:tcW w:w="608" w:type="dxa"/>
            <w:tcBorders>
              <w:top w:val="nil"/>
              <w:left w:val="nil"/>
              <w:bottom w:val="single" w:sz="8" w:space="0" w:color="auto"/>
              <w:right w:val="single" w:sz="8" w:space="0" w:color="auto"/>
            </w:tcBorders>
            <w:tcMar>
              <w:left w:w="28" w:type="dxa"/>
              <w:right w:w="28" w:type="dxa"/>
            </w:tcMar>
            <w:vAlign w:val="center"/>
            <w:hideMark/>
          </w:tcPr>
          <w:p w14:paraId="7EE569D1"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650" w:type="dxa"/>
            <w:tcBorders>
              <w:top w:val="nil"/>
              <w:left w:val="nil"/>
              <w:bottom w:val="single" w:sz="8" w:space="0" w:color="auto"/>
              <w:right w:val="single" w:sz="8" w:space="0" w:color="auto"/>
            </w:tcBorders>
            <w:tcMar>
              <w:left w:w="28" w:type="dxa"/>
              <w:right w:w="28" w:type="dxa"/>
            </w:tcMar>
            <w:vAlign w:val="center"/>
            <w:hideMark/>
          </w:tcPr>
          <w:p w14:paraId="42196D17"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626" w:type="dxa"/>
            <w:gridSpan w:val="2"/>
            <w:tcBorders>
              <w:top w:val="nil"/>
              <w:left w:val="nil"/>
              <w:bottom w:val="single" w:sz="8" w:space="0" w:color="auto"/>
              <w:right w:val="single" w:sz="8" w:space="0" w:color="auto"/>
            </w:tcBorders>
            <w:tcMar>
              <w:left w:w="28" w:type="dxa"/>
              <w:right w:w="28" w:type="dxa"/>
            </w:tcMar>
            <w:vAlign w:val="center"/>
            <w:hideMark/>
          </w:tcPr>
          <w:p w14:paraId="647ADDB3"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589" w:type="dxa"/>
            <w:tcBorders>
              <w:top w:val="nil"/>
              <w:left w:val="nil"/>
              <w:bottom w:val="single" w:sz="8" w:space="0" w:color="auto"/>
              <w:right w:val="single" w:sz="8" w:space="0" w:color="auto"/>
            </w:tcBorders>
            <w:tcMar>
              <w:left w:w="28" w:type="dxa"/>
              <w:right w:w="28" w:type="dxa"/>
            </w:tcMar>
            <w:vAlign w:val="center"/>
            <w:hideMark/>
          </w:tcPr>
          <w:p w14:paraId="58980DC4"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509" w:type="dxa"/>
            <w:tcBorders>
              <w:top w:val="nil"/>
              <w:left w:val="nil"/>
              <w:bottom w:val="single" w:sz="8" w:space="0" w:color="auto"/>
              <w:right w:val="single" w:sz="8" w:space="0" w:color="auto"/>
            </w:tcBorders>
            <w:tcMar>
              <w:left w:w="28" w:type="dxa"/>
              <w:right w:w="28" w:type="dxa"/>
            </w:tcMar>
            <w:vAlign w:val="center"/>
            <w:hideMark/>
          </w:tcPr>
          <w:p w14:paraId="5C550E10"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614" w:type="dxa"/>
            <w:tcBorders>
              <w:top w:val="nil"/>
              <w:left w:val="nil"/>
              <w:bottom w:val="single" w:sz="8" w:space="0" w:color="auto"/>
              <w:right w:val="single" w:sz="8" w:space="0" w:color="auto"/>
            </w:tcBorders>
            <w:tcMar>
              <w:left w:w="28" w:type="dxa"/>
              <w:right w:w="28" w:type="dxa"/>
            </w:tcMar>
            <w:vAlign w:val="center"/>
            <w:hideMark/>
          </w:tcPr>
          <w:p w14:paraId="4609714D"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599" w:type="dxa"/>
            <w:tcBorders>
              <w:top w:val="nil"/>
              <w:left w:val="nil"/>
              <w:bottom w:val="single" w:sz="8" w:space="0" w:color="auto"/>
              <w:right w:val="single" w:sz="8" w:space="0" w:color="auto"/>
            </w:tcBorders>
            <w:tcMar>
              <w:left w:w="28" w:type="dxa"/>
              <w:right w:w="28" w:type="dxa"/>
            </w:tcMar>
            <w:vAlign w:val="center"/>
            <w:hideMark/>
          </w:tcPr>
          <w:p w14:paraId="734C699E"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749" w:type="dxa"/>
            <w:tcBorders>
              <w:top w:val="nil"/>
              <w:left w:val="nil"/>
              <w:bottom w:val="single" w:sz="8" w:space="0" w:color="auto"/>
              <w:right w:val="single" w:sz="8" w:space="0" w:color="auto"/>
            </w:tcBorders>
            <w:tcMar>
              <w:left w:w="28" w:type="dxa"/>
              <w:right w:w="28" w:type="dxa"/>
            </w:tcMar>
            <w:vAlign w:val="center"/>
            <w:hideMark/>
          </w:tcPr>
          <w:p w14:paraId="557CB9A6"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612" w:type="dxa"/>
            <w:tcBorders>
              <w:top w:val="nil"/>
              <w:left w:val="nil"/>
              <w:bottom w:val="single" w:sz="8" w:space="0" w:color="auto"/>
              <w:right w:val="single" w:sz="8" w:space="0" w:color="auto"/>
            </w:tcBorders>
            <w:tcMar>
              <w:left w:w="28" w:type="dxa"/>
              <w:right w:w="28" w:type="dxa"/>
            </w:tcMar>
            <w:vAlign w:val="center"/>
            <w:hideMark/>
          </w:tcPr>
          <w:p w14:paraId="2CEAFAD6" w14:textId="77777777" w:rsidR="007C3C02" w:rsidRPr="007C3C02" w:rsidRDefault="007C3C02" w:rsidP="000D68E9">
            <w:pPr>
              <w:spacing w:after="120" w:line="240" w:lineRule="auto"/>
              <w:rPr>
                <w:rFonts w:ascii="Arial Narrow" w:hAnsi="Arial Narrow"/>
              </w:rPr>
            </w:pPr>
            <w:r w:rsidRPr="007C3C02">
              <w:rPr>
                <w:rFonts w:ascii="Arial Narrow" w:hAnsi="Arial Narrow"/>
                <w:b/>
                <w:bCs/>
                <w:u w:val="single"/>
              </w:rPr>
              <w:t>125 ml</w:t>
            </w:r>
            <w:r w:rsidRPr="007C3C02">
              <w:rPr>
                <w:rFonts w:ascii="Arial Narrow" w:hAnsi="Arial Narrow"/>
              </w:rPr>
              <w:t> </w:t>
            </w:r>
          </w:p>
        </w:tc>
        <w:tc>
          <w:tcPr>
            <w:tcW w:w="580" w:type="dxa"/>
            <w:tcBorders>
              <w:top w:val="nil"/>
              <w:left w:val="nil"/>
              <w:bottom w:val="single" w:sz="8" w:space="0" w:color="auto"/>
              <w:right w:val="single" w:sz="8" w:space="0" w:color="auto"/>
            </w:tcBorders>
            <w:tcMar>
              <w:left w:w="28" w:type="dxa"/>
              <w:right w:w="28" w:type="dxa"/>
            </w:tcMar>
            <w:vAlign w:val="center"/>
            <w:hideMark/>
          </w:tcPr>
          <w:p w14:paraId="4DA59BF0" w14:textId="77777777" w:rsidR="007C3C02" w:rsidRPr="007C3C02" w:rsidRDefault="007C3C02" w:rsidP="000D68E9">
            <w:pPr>
              <w:spacing w:after="120" w:line="240" w:lineRule="auto"/>
              <w:rPr>
                <w:rFonts w:ascii="Arial Narrow" w:hAnsi="Arial Narrow"/>
              </w:rPr>
            </w:pPr>
            <w:r w:rsidRPr="007C3C02">
              <w:rPr>
                <w:rFonts w:ascii="Arial Narrow" w:hAnsi="Arial Narrow"/>
                <w:b/>
                <w:bCs/>
                <w:u w:val="single"/>
              </w:rPr>
              <w:t>500 gm</w:t>
            </w:r>
            <w:r w:rsidRPr="007C3C02">
              <w:rPr>
                <w:rFonts w:ascii="Arial Narrow" w:hAnsi="Arial Narrow"/>
              </w:rPr>
              <w:t> </w:t>
            </w:r>
          </w:p>
        </w:tc>
        <w:tc>
          <w:tcPr>
            <w:tcW w:w="783" w:type="dxa"/>
            <w:tcBorders>
              <w:top w:val="nil"/>
              <w:left w:val="nil"/>
              <w:bottom w:val="single" w:sz="8" w:space="0" w:color="auto"/>
              <w:right w:val="single" w:sz="8" w:space="0" w:color="auto"/>
            </w:tcBorders>
            <w:tcMar>
              <w:left w:w="28" w:type="dxa"/>
              <w:right w:w="28" w:type="dxa"/>
            </w:tcMar>
            <w:vAlign w:val="center"/>
            <w:hideMark/>
          </w:tcPr>
          <w:p w14:paraId="655C28DE"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493" w:type="dxa"/>
            <w:tcBorders>
              <w:top w:val="nil"/>
              <w:left w:val="nil"/>
              <w:bottom w:val="single" w:sz="8" w:space="0" w:color="auto"/>
              <w:right w:val="single" w:sz="8" w:space="0" w:color="auto"/>
            </w:tcBorders>
            <w:tcMar>
              <w:left w:w="28" w:type="dxa"/>
              <w:right w:w="28" w:type="dxa"/>
            </w:tcMar>
            <w:vAlign w:val="center"/>
            <w:hideMark/>
          </w:tcPr>
          <w:p w14:paraId="1B98AEF5"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850" w:type="dxa"/>
            <w:tcBorders>
              <w:top w:val="nil"/>
              <w:left w:val="nil"/>
              <w:bottom w:val="single" w:sz="8" w:space="0" w:color="auto"/>
              <w:right w:val="single" w:sz="8" w:space="0" w:color="auto"/>
            </w:tcBorders>
            <w:tcMar>
              <w:left w:w="28" w:type="dxa"/>
              <w:right w:w="28" w:type="dxa"/>
            </w:tcMar>
            <w:vAlign w:val="center"/>
            <w:hideMark/>
          </w:tcPr>
          <w:p w14:paraId="4B7CAC78" w14:textId="77777777" w:rsidR="007C3C02" w:rsidRPr="007C3C02" w:rsidRDefault="007C3C02" w:rsidP="000D68E9">
            <w:pPr>
              <w:spacing w:after="120" w:line="240" w:lineRule="auto"/>
              <w:rPr>
                <w:rFonts w:ascii="Arial Narrow" w:hAnsi="Arial Narrow"/>
              </w:rPr>
            </w:pPr>
            <w:r w:rsidRPr="007C3C02">
              <w:rPr>
                <w:rFonts w:ascii="Arial Narrow" w:hAnsi="Arial Narrow"/>
              </w:rPr>
              <w:t> </w:t>
            </w:r>
          </w:p>
        </w:tc>
        <w:tc>
          <w:tcPr>
            <w:tcW w:w="567" w:type="dxa"/>
            <w:tcBorders>
              <w:top w:val="nil"/>
              <w:left w:val="nil"/>
              <w:bottom w:val="single" w:sz="8" w:space="0" w:color="auto"/>
              <w:right w:val="single" w:sz="8" w:space="0" w:color="auto"/>
            </w:tcBorders>
            <w:vAlign w:val="center"/>
            <w:hideMark/>
          </w:tcPr>
          <w:p w14:paraId="08F14BAB" w14:textId="77777777" w:rsidR="007C3C02" w:rsidRPr="007C3C02" w:rsidRDefault="007C3C02" w:rsidP="000D68E9">
            <w:pPr>
              <w:spacing w:after="120"/>
              <w:rPr>
                <w:rFonts w:ascii="Arial Narrow" w:hAnsi="Arial Narrow"/>
              </w:rPr>
            </w:pPr>
            <w:r w:rsidRPr="007C3C02">
              <w:rPr>
                <w:rFonts w:ascii="Arial Narrow" w:hAnsi="Arial Narrow"/>
              </w:rPr>
              <w:t> </w:t>
            </w:r>
          </w:p>
        </w:tc>
      </w:tr>
      <w:tr w:rsidR="007C3C02" w:rsidRPr="007C3C02" w14:paraId="5AFB6031" w14:textId="77777777" w:rsidTr="0081061E">
        <w:trPr>
          <w:trHeight w:val="300"/>
        </w:trPr>
        <w:tc>
          <w:tcPr>
            <w:tcW w:w="1418" w:type="dxa"/>
            <w:gridSpan w:val="2"/>
            <w:tcBorders>
              <w:top w:val="nil"/>
              <w:left w:val="single" w:sz="8" w:space="0" w:color="auto"/>
              <w:bottom w:val="single" w:sz="8" w:space="0" w:color="auto"/>
              <w:right w:val="nil"/>
            </w:tcBorders>
            <w:vAlign w:val="center"/>
            <w:hideMark/>
          </w:tcPr>
          <w:p w14:paraId="460F9672" w14:textId="77777777" w:rsidR="007C3C02" w:rsidRPr="007C3C02" w:rsidRDefault="007C3C02" w:rsidP="000D68E9">
            <w:pPr>
              <w:spacing w:after="120"/>
              <w:rPr>
                <w:rFonts w:ascii="Arial Narrow" w:hAnsi="Arial Narrow"/>
              </w:rPr>
            </w:pPr>
            <w:r w:rsidRPr="007C3C02">
              <w:rPr>
                <w:rFonts w:ascii="Arial Narrow" w:hAnsi="Arial Narrow"/>
              </w:rPr>
              <w:t>Table notes: </w:t>
            </w:r>
          </w:p>
        </w:tc>
        <w:tc>
          <w:tcPr>
            <w:tcW w:w="905" w:type="dxa"/>
            <w:gridSpan w:val="2"/>
            <w:tcBorders>
              <w:top w:val="nil"/>
              <w:left w:val="nil"/>
              <w:bottom w:val="single" w:sz="8" w:space="0" w:color="auto"/>
              <w:right w:val="nil"/>
            </w:tcBorders>
            <w:hideMark/>
          </w:tcPr>
          <w:p w14:paraId="5F0B6B27" w14:textId="77777777" w:rsidR="007C3C02" w:rsidRPr="007C3C02" w:rsidRDefault="007C3C02" w:rsidP="000D68E9">
            <w:pPr>
              <w:spacing w:after="120"/>
              <w:rPr>
                <w:rFonts w:ascii="Arial Narrow" w:hAnsi="Arial Narrow"/>
              </w:rPr>
            </w:pPr>
            <w:r w:rsidRPr="007C3C02">
              <w:rPr>
                <w:rFonts w:ascii="Arial Narrow" w:hAnsi="Arial Narrow"/>
              </w:rPr>
              <w:t> </w:t>
            </w:r>
          </w:p>
        </w:tc>
        <w:tc>
          <w:tcPr>
            <w:tcW w:w="6749" w:type="dxa"/>
            <w:gridSpan w:val="11"/>
            <w:tcBorders>
              <w:top w:val="nil"/>
              <w:left w:val="nil"/>
              <w:bottom w:val="single" w:sz="8" w:space="0" w:color="auto"/>
              <w:right w:val="nil"/>
            </w:tcBorders>
            <w:vAlign w:val="center"/>
            <w:hideMark/>
          </w:tcPr>
          <w:p w14:paraId="541AABE8" w14:textId="77777777" w:rsidR="007C3C02" w:rsidRPr="007C3C02" w:rsidRDefault="007C3C02" w:rsidP="000D68E9">
            <w:pPr>
              <w:spacing w:after="120"/>
              <w:rPr>
                <w:rFonts w:ascii="Arial Narrow" w:hAnsi="Arial Narrow"/>
              </w:rPr>
            </w:pPr>
            <w:r w:rsidRPr="007C3C02">
              <w:rPr>
                <w:rFonts w:ascii="Arial Narrow" w:hAnsi="Arial Narrow"/>
              </w:rPr>
              <w:t>a    2 L if the Class 3, packing group III substance is Manufactured Product </w:t>
            </w:r>
          </w:p>
        </w:tc>
        <w:tc>
          <w:tcPr>
            <w:tcW w:w="567" w:type="dxa"/>
            <w:tcBorders>
              <w:top w:val="nil"/>
              <w:left w:val="nil"/>
              <w:bottom w:val="single" w:sz="8" w:space="0" w:color="auto"/>
              <w:right w:val="single" w:sz="8" w:space="0" w:color="auto"/>
            </w:tcBorders>
            <w:vAlign w:val="center"/>
            <w:hideMark/>
          </w:tcPr>
          <w:p w14:paraId="1E41BCF9" w14:textId="77777777" w:rsidR="007C3C02" w:rsidRPr="007C3C02" w:rsidRDefault="007C3C02" w:rsidP="000D68E9">
            <w:pPr>
              <w:spacing w:after="120"/>
              <w:rPr>
                <w:rFonts w:ascii="Arial Narrow" w:hAnsi="Arial Narrow"/>
              </w:rPr>
            </w:pPr>
            <w:r w:rsidRPr="007C3C02">
              <w:rPr>
                <w:rFonts w:ascii="Arial Narrow" w:hAnsi="Arial Narrow"/>
              </w:rPr>
              <w:t> </w:t>
            </w:r>
          </w:p>
        </w:tc>
      </w:tr>
    </w:tbl>
    <w:p w14:paraId="274D388B" w14:textId="6838BAE7" w:rsidR="00546C5D" w:rsidRPr="00546C5D" w:rsidRDefault="00546C5D" w:rsidP="000D68E9">
      <w:pPr>
        <w:spacing w:after="120"/>
        <w:rPr>
          <w:rFonts w:ascii="Arial Narrow" w:hAnsi="Arial Narrow"/>
        </w:rPr>
      </w:pPr>
    </w:p>
    <w:bookmarkEnd w:id="2"/>
    <w:p w14:paraId="7F6E5543" w14:textId="2C3C85B7" w:rsidR="007C3C02" w:rsidRPr="005D4025" w:rsidRDefault="007C3C02" w:rsidP="007C3C02">
      <w:pPr>
        <w:pBdr>
          <w:bottom w:val="single" w:sz="2" w:space="6" w:color="10CFC9"/>
        </w:pBdr>
        <w:spacing w:before="220" w:after="220" w:line="264" w:lineRule="auto"/>
        <w:rPr>
          <w:rFonts w:ascii="Arial Narrow" w:eastAsia="Cambria" w:hAnsi="Arial Narrow" w:cs="Times New Roman"/>
          <w:b/>
        </w:rPr>
      </w:pPr>
      <w:r>
        <w:rPr>
          <w:rFonts w:ascii="Arial Narrow" w:eastAsia="Cambria" w:hAnsi="Arial Narrow" w:cs="Times New Roman"/>
          <w:b/>
        </w:rPr>
        <w:t>TRANSITION PERIOD FOR REFERENCED STANDARDS</w:t>
      </w:r>
    </w:p>
    <w:p w14:paraId="46C9F642" w14:textId="77777777" w:rsidR="007C3C02" w:rsidRDefault="007C3C02" w:rsidP="007C3C02">
      <w:pPr>
        <w:rPr>
          <w:rFonts w:ascii="Arial Narrow" w:hAnsi="Arial Narrow"/>
          <w:b/>
        </w:rPr>
      </w:pPr>
      <w:r>
        <w:rPr>
          <w:rFonts w:ascii="Arial Narrow" w:hAnsi="Arial Narrow"/>
          <w:b/>
        </w:rPr>
        <w:t>Problem</w:t>
      </w:r>
    </w:p>
    <w:p w14:paraId="304F5F24" w14:textId="77777777" w:rsidR="0005203F" w:rsidRPr="0005203F" w:rsidRDefault="0005203F" w:rsidP="0005203F">
      <w:pPr>
        <w:rPr>
          <w:rFonts w:ascii="Arial Narrow" w:hAnsi="Arial Narrow"/>
        </w:rPr>
      </w:pPr>
      <w:r w:rsidRPr="0005203F">
        <w:rPr>
          <w:rFonts w:ascii="Arial Narrow" w:hAnsi="Arial Narrow"/>
        </w:rPr>
        <w:t>Section 1.2.3.2 – “References to other codes, standards and international rules” of the ADG Code deals with how referenced standards are to be applied and enforced.</w:t>
      </w:r>
    </w:p>
    <w:p w14:paraId="0B6B603A" w14:textId="676E6BE2" w:rsidR="0005203F" w:rsidRPr="0005203F" w:rsidRDefault="0005203F" w:rsidP="0005203F">
      <w:pPr>
        <w:rPr>
          <w:rFonts w:ascii="Arial Narrow" w:hAnsi="Arial Narrow"/>
        </w:rPr>
      </w:pPr>
      <w:r w:rsidRPr="0005203F">
        <w:rPr>
          <w:rFonts w:ascii="Arial Narrow" w:hAnsi="Arial Narrow"/>
        </w:rPr>
        <w:t>Section 1.2.3.2 of ADG 7.7 is confusing and flawed in explaining to industry which edition of a standard or code referenced in the ADG Code is applicable.</w:t>
      </w:r>
      <w:r w:rsidR="004F59A4">
        <w:rPr>
          <w:rFonts w:ascii="Arial Narrow" w:hAnsi="Arial Narrow"/>
        </w:rPr>
        <w:t xml:space="preserve"> T</w:t>
      </w:r>
      <w:r w:rsidRPr="0005203F">
        <w:rPr>
          <w:rFonts w:ascii="Arial Narrow" w:hAnsi="Arial Narrow"/>
        </w:rPr>
        <w:t>he question of which edition of a standard or code is legally required at any point in time is important because of safety and economic issues inherent in the selection of a particular edition.</w:t>
      </w:r>
    </w:p>
    <w:p w14:paraId="3A455B64" w14:textId="77777777" w:rsidR="0005203F" w:rsidRPr="0005203F" w:rsidRDefault="0005203F" w:rsidP="0005203F">
      <w:pPr>
        <w:rPr>
          <w:rFonts w:ascii="Arial Narrow" w:hAnsi="Arial Narrow"/>
          <w:b/>
          <w:bCs/>
        </w:rPr>
      </w:pPr>
      <w:r w:rsidRPr="0005203F">
        <w:rPr>
          <w:rFonts w:ascii="Arial Narrow" w:hAnsi="Arial Narrow"/>
          <w:b/>
          <w:bCs/>
        </w:rPr>
        <w:t>Amended provisions</w:t>
      </w:r>
    </w:p>
    <w:p w14:paraId="31574380" w14:textId="33D9E7A8" w:rsidR="0005203F" w:rsidRPr="0005203F" w:rsidRDefault="0005203F" w:rsidP="0005203F">
      <w:pPr>
        <w:rPr>
          <w:rFonts w:ascii="Arial Narrow" w:hAnsi="Arial Narrow"/>
        </w:rPr>
      </w:pPr>
      <w:r w:rsidRPr="0005203F">
        <w:rPr>
          <w:rFonts w:ascii="Arial Narrow" w:hAnsi="Arial Narrow"/>
        </w:rPr>
        <w:t xml:space="preserve">1.2.3.2.2 of the code has been updated to include a 12 month transition period, </w:t>
      </w:r>
      <w:r w:rsidR="00FC0E66">
        <w:rPr>
          <w:rFonts w:ascii="Arial Narrow" w:hAnsi="Arial Narrow"/>
        </w:rPr>
        <w:t xml:space="preserve">deleted text show in strikethrough, </w:t>
      </w:r>
      <w:r>
        <w:rPr>
          <w:rFonts w:ascii="Arial Narrow" w:hAnsi="Arial Narrow"/>
        </w:rPr>
        <w:t>new text shown bold and underlined</w:t>
      </w:r>
      <w:r w:rsidRPr="0005203F">
        <w:rPr>
          <w:rFonts w:ascii="Arial Narrow" w:hAnsi="Arial Narrow"/>
        </w:rPr>
        <w:t>:</w:t>
      </w:r>
    </w:p>
    <w:p w14:paraId="6DAC1E28" w14:textId="539F4BED" w:rsidR="009B2D98" w:rsidRPr="00543AE7" w:rsidRDefault="00FC0E66" w:rsidP="00543AE7">
      <w:pPr>
        <w:ind w:left="1418" w:hanging="993"/>
        <w:rPr>
          <w:rFonts w:ascii="Arial Narrow" w:hAnsi="Arial Narrow"/>
          <w:b/>
          <w:bCs/>
          <w:i/>
          <w:iCs/>
          <w:u w:val="single"/>
        </w:rPr>
      </w:pPr>
      <w:r w:rsidRPr="00BD4D46">
        <w:rPr>
          <w:rFonts w:ascii="Arial Narrow" w:hAnsi="Arial Narrow"/>
          <w:i/>
          <w:iCs/>
        </w:rPr>
        <w:t>1.2.3.2.2</w:t>
      </w:r>
      <w:r w:rsidRPr="00BD4D46">
        <w:rPr>
          <w:rFonts w:ascii="Arial Narrow" w:hAnsi="Arial Narrow"/>
          <w:i/>
          <w:iCs/>
        </w:rPr>
        <w:tab/>
      </w:r>
      <w:r w:rsidR="00543AE7" w:rsidRPr="00543AE7">
        <w:rPr>
          <w:rFonts w:ascii="Arial Narrow" w:hAnsi="Arial Narrow"/>
          <w:i/>
          <w:iCs/>
        </w:rPr>
        <w:t xml:space="preserve">In this Code, </w:t>
      </w:r>
      <w:r w:rsidR="00543AE7" w:rsidRPr="00543AE7">
        <w:rPr>
          <w:rFonts w:ascii="Arial Narrow" w:hAnsi="Arial Narrow"/>
          <w:i/>
          <w:iCs/>
          <w:strike/>
        </w:rPr>
        <w:t>unless the contrary intention appears,</w:t>
      </w:r>
      <w:r w:rsidR="00543AE7">
        <w:rPr>
          <w:rFonts w:ascii="Arial Narrow" w:hAnsi="Arial Narrow"/>
          <w:i/>
          <w:iCs/>
        </w:rPr>
        <w:t xml:space="preserve"> </w:t>
      </w:r>
      <w:r w:rsidR="00543AE7" w:rsidRPr="00543AE7">
        <w:rPr>
          <w:rFonts w:ascii="Arial Narrow" w:hAnsi="Arial Narrow"/>
          <w:i/>
          <w:iCs/>
        </w:rPr>
        <w:t xml:space="preserve">a reference to a code, standard or international rule is a reference to </w:t>
      </w:r>
      <w:r w:rsidR="00543AE7" w:rsidRPr="00543AE7">
        <w:rPr>
          <w:rFonts w:ascii="Arial Narrow" w:hAnsi="Arial Narrow"/>
          <w:b/>
          <w:bCs/>
          <w:i/>
          <w:iCs/>
          <w:u w:val="single"/>
        </w:rPr>
        <w:t>the latest edition of</w:t>
      </w:r>
      <w:r w:rsidR="00543AE7" w:rsidRPr="00543AE7">
        <w:rPr>
          <w:rFonts w:ascii="Arial Narrow" w:hAnsi="Arial Narrow"/>
          <w:i/>
          <w:iCs/>
        </w:rPr>
        <w:t xml:space="preserve"> that code, standard or international rule</w:t>
      </w:r>
      <w:r w:rsidR="00543AE7">
        <w:rPr>
          <w:rFonts w:ascii="Arial Narrow" w:hAnsi="Arial Narrow"/>
          <w:i/>
          <w:iCs/>
        </w:rPr>
        <w:t xml:space="preserve"> </w:t>
      </w:r>
      <w:r w:rsidR="00543AE7" w:rsidRPr="00543AE7">
        <w:rPr>
          <w:rFonts w:ascii="Arial Narrow" w:hAnsi="Arial Narrow"/>
          <w:i/>
          <w:iCs/>
          <w:strike/>
        </w:rPr>
        <w:t>as amended from time to time</w:t>
      </w:r>
      <w:r w:rsidR="00543AE7">
        <w:rPr>
          <w:rFonts w:ascii="Arial Narrow" w:hAnsi="Arial Narrow"/>
          <w:i/>
          <w:iCs/>
        </w:rPr>
        <w:t>.</w:t>
      </w:r>
      <w:r w:rsidR="00543AE7" w:rsidRPr="00543AE7">
        <w:rPr>
          <w:rFonts w:ascii="Arial Narrow" w:hAnsi="Arial Narrow"/>
          <w:i/>
          <w:iCs/>
        </w:rPr>
        <w:t xml:space="preserve"> </w:t>
      </w:r>
      <w:r w:rsidR="00543AE7" w:rsidRPr="00543AE7">
        <w:rPr>
          <w:rFonts w:ascii="Arial Narrow" w:hAnsi="Arial Narrow"/>
          <w:b/>
          <w:bCs/>
          <w:i/>
          <w:iCs/>
          <w:u w:val="single"/>
        </w:rPr>
        <w:t>However,</w:t>
      </w:r>
      <w:r w:rsidR="00543AE7" w:rsidRPr="00543AE7">
        <w:rPr>
          <w:rFonts w:ascii="Arial Narrow" w:hAnsi="Arial Narrow"/>
          <w:b/>
          <w:bCs/>
          <w:i/>
          <w:iCs/>
          <w:u w:val="single"/>
        </w:rPr>
        <w:t xml:space="preserve"> the previous edition of a code, standard or international rule may continue to be used for 12 months after the date of publication of the latest edition unless a defined transition period is specified</w:t>
      </w:r>
      <w:r w:rsidR="000C7BF2">
        <w:rPr>
          <w:rFonts w:ascii="Arial Narrow" w:hAnsi="Arial Narrow"/>
          <w:b/>
          <w:bCs/>
          <w:i/>
          <w:iCs/>
          <w:u w:val="single"/>
        </w:rPr>
        <w:t>.</w:t>
      </w:r>
    </w:p>
    <w:p w14:paraId="328FB630" w14:textId="77777777" w:rsidR="00543AE7" w:rsidRPr="00543AE7" w:rsidRDefault="00543AE7" w:rsidP="00543AE7">
      <w:pPr>
        <w:ind w:left="1418" w:hanging="993"/>
        <w:rPr>
          <w:rFonts w:ascii="Arial Narrow" w:hAnsi="Arial Narrow"/>
          <w:b/>
          <w:bCs/>
          <w:i/>
          <w:iCs/>
          <w:u w:val="single"/>
        </w:rPr>
      </w:pPr>
      <w:r w:rsidRPr="00543AE7">
        <w:rPr>
          <w:rFonts w:ascii="Arial Narrow" w:hAnsi="Arial Narrow"/>
          <w:b/>
          <w:bCs/>
          <w:i/>
          <w:iCs/>
        </w:rPr>
        <w:tab/>
      </w:r>
      <w:r w:rsidRPr="00543AE7">
        <w:rPr>
          <w:rFonts w:ascii="Arial Narrow" w:hAnsi="Arial Narrow"/>
          <w:b/>
          <w:bCs/>
          <w:i/>
          <w:iCs/>
          <w:u w:val="single"/>
        </w:rPr>
        <w:t>Australian Standards continue to have effect despite an announcement by Standards Australia that a particular standard has been withdrawn as an aged standard.</w:t>
      </w:r>
    </w:p>
    <w:p w14:paraId="0B108CFD" w14:textId="4E4D0BE7" w:rsidR="00543AE7" w:rsidRPr="005D4025" w:rsidRDefault="00543AE7" w:rsidP="00543AE7">
      <w:pPr>
        <w:ind w:left="1418" w:hanging="993"/>
        <w:rPr>
          <w:rFonts w:ascii="Arial Narrow" w:hAnsi="Arial Narrow"/>
        </w:rPr>
      </w:pPr>
    </w:p>
    <w:p w14:paraId="4D8714F5" w14:textId="3FE5AE44" w:rsidR="00AA0C53" w:rsidRPr="004074FB" w:rsidRDefault="00D36F6F" w:rsidP="004074FB">
      <w:pPr>
        <w:pBdr>
          <w:bottom w:val="single" w:sz="2" w:space="6" w:color="10CFC9"/>
        </w:pBdr>
        <w:spacing w:before="220" w:after="220" w:line="264" w:lineRule="auto"/>
        <w:rPr>
          <w:rFonts w:ascii="Arial Narrow" w:eastAsia="Cambria" w:hAnsi="Arial Narrow" w:cs="Times New Roman"/>
          <w:b/>
        </w:rPr>
      </w:pPr>
      <w:r w:rsidRPr="004074FB">
        <w:rPr>
          <w:rFonts w:ascii="Arial Narrow" w:eastAsia="Cambria" w:hAnsi="Arial Narrow" w:cs="Times New Roman"/>
          <w:b/>
        </w:rPr>
        <w:t>BUNDLES OF CYLINDERS</w:t>
      </w:r>
      <w:r w:rsidR="007C3C02" w:rsidRPr="004074FB">
        <w:rPr>
          <w:rFonts w:ascii="Arial Narrow" w:eastAsia="Cambria" w:hAnsi="Arial Narrow" w:cs="Times New Roman"/>
          <w:b/>
        </w:rPr>
        <w:t xml:space="preserve"> AS PLACAR</w:t>
      </w:r>
      <w:r w:rsidR="001445BA" w:rsidRPr="004074FB">
        <w:rPr>
          <w:rFonts w:ascii="Arial Narrow" w:eastAsia="Cambria" w:hAnsi="Arial Narrow" w:cs="Times New Roman"/>
          <w:b/>
        </w:rPr>
        <w:t>D</w:t>
      </w:r>
      <w:r w:rsidR="007C3C02" w:rsidRPr="004074FB">
        <w:rPr>
          <w:rFonts w:ascii="Arial Narrow" w:eastAsia="Cambria" w:hAnsi="Arial Narrow" w:cs="Times New Roman"/>
          <w:b/>
        </w:rPr>
        <w:t>ABLE UNITS</w:t>
      </w:r>
    </w:p>
    <w:p w14:paraId="40C57596" w14:textId="77777777" w:rsidR="000D68E9" w:rsidRPr="000D68E9" w:rsidRDefault="000D68E9" w:rsidP="000D68E9">
      <w:pPr>
        <w:spacing w:after="120"/>
        <w:rPr>
          <w:rFonts w:ascii="Arial Narrow" w:hAnsi="Arial Narrow"/>
          <w:b/>
        </w:rPr>
      </w:pPr>
      <w:bookmarkStart w:id="3" w:name="_Hlk81237339"/>
      <w:r w:rsidRPr="000D68E9">
        <w:rPr>
          <w:rFonts w:ascii="Arial Narrow" w:hAnsi="Arial Narrow"/>
          <w:b/>
        </w:rPr>
        <w:t xml:space="preserve">Problem </w:t>
      </w:r>
    </w:p>
    <w:p w14:paraId="4FBAB3DF" w14:textId="5F31B051" w:rsidR="000D68E9" w:rsidRPr="000D68E9" w:rsidRDefault="000D68E9" w:rsidP="000D68E9">
      <w:pPr>
        <w:spacing w:after="120"/>
        <w:rPr>
          <w:rFonts w:ascii="Arial Narrow" w:hAnsi="Arial Narrow"/>
          <w:bCs/>
        </w:rPr>
      </w:pPr>
      <w:r w:rsidRPr="000D68E9">
        <w:rPr>
          <w:rFonts w:ascii="Arial Narrow" w:hAnsi="Arial Narrow"/>
          <w:bCs/>
        </w:rPr>
        <w:t xml:space="preserve">In 2010 the Victorian competent authority </w:t>
      </w:r>
      <w:r>
        <w:rPr>
          <w:rFonts w:ascii="Arial Narrow" w:hAnsi="Arial Narrow"/>
          <w:bCs/>
        </w:rPr>
        <w:t>made</w:t>
      </w:r>
      <w:r w:rsidRPr="000D68E9">
        <w:rPr>
          <w:rFonts w:ascii="Arial Narrow" w:hAnsi="Arial Narrow"/>
          <w:bCs/>
        </w:rPr>
        <w:t xml:space="preserve"> a Determination that: </w:t>
      </w:r>
    </w:p>
    <w:bookmarkEnd w:id="3"/>
    <w:p w14:paraId="48934F26" w14:textId="77777777" w:rsidR="000D68E9" w:rsidRPr="000D68E9" w:rsidRDefault="000D68E9" w:rsidP="000D68E9">
      <w:pPr>
        <w:spacing w:after="120"/>
        <w:ind w:left="360"/>
        <w:rPr>
          <w:rFonts w:ascii="Arial Narrow" w:hAnsi="Arial Narrow"/>
          <w:bCs/>
          <w:i/>
          <w:iCs/>
        </w:rPr>
      </w:pPr>
      <w:r w:rsidRPr="000D68E9">
        <w:rPr>
          <w:rFonts w:ascii="Arial Narrow" w:hAnsi="Arial Narrow"/>
          <w:bCs/>
          <w:i/>
          <w:iCs/>
        </w:rPr>
        <w:lastRenderedPageBreak/>
        <w:t xml:space="preserve">Multiple gas cylinders that are manifolded so that the contents of all the cylinders can be discharged through a single or dual outlet, and are fastened together for handling and transported as a unit are a ‘Bundles of Cylinders’ in accordance with the definition of ‘Bundles of Cylinders’ as set out in chapter 1.2, clause 1.2.1 of the Australian Dangerous Goods Code edition 7, and are not ‘Multiple Element Gas Containers’ (MEGC) or ‘Placardable Units’ and </w:t>
      </w:r>
      <w:bookmarkStart w:id="4" w:name="_Hlk42755955"/>
      <w:r w:rsidRPr="000D68E9">
        <w:rPr>
          <w:rFonts w:ascii="Arial Narrow" w:hAnsi="Arial Narrow"/>
          <w:bCs/>
          <w:i/>
          <w:iCs/>
        </w:rPr>
        <w:t>therefore not subject to vehicle and driver licensing</w:t>
      </w:r>
      <w:bookmarkEnd w:id="4"/>
      <w:r w:rsidRPr="000D68E9">
        <w:rPr>
          <w:rFonts w:ascii="Arial Narrow" w:hAnsi="Arial Narrow"/>
          <w:bCs/>
          <w:i/>
          <w:iCs/>
        </w:rPr>
        <w:t>, provided that the:</w:t>
      </w:r>
    </w:p>
    <w:p w14:paraId="5650362D" w14:textId="77777777" w:rsidR="000D68E9" w:rsidRPr="000D68E9" w:rsidRDefault="000D68E9" w:rsidP="000D68E9">
      <w:pPr>
        <w:numPr>
          <w:ilvl w:val="1"/>
          <w:numId w:val="14"/>
        </w:numPr>
        <w:spacing w:after="120"/>
        <w:ind w:left="1434" w:hanging="357"/>
        <w:contextualSpacing/>
        <w:rPr>
          <w:rFonts w:ascii="Arial Narrow" w:hAnsi="Arial Narrow"/>
          <w:bCs/>
          <w:i/>
          <w:iCs/>
        </w:rPr>
      </w:pPr>
      <w:bookmarkStart w:id="5" w:name="_Hlk42788905"/>
      <w:r w:rsidRPr="000D68E9">
        <w:rPr>
          <w:rFonts w:ascii="Arial Narrow" w:hAnsi="Arial Narrow"/>
          <w:bCs/>
          <w:i/>
          <w:iCs/>
        </w:rPr>
        <w:t>Internal water capacity of each cylinder does not exceed 50L; and</w:t>
      </w:r>
    </w:p>
    <w:p w14:paraId="5E3B403A" w14:textId="77777777" w:rsidR="000D68E9" w:rsidRPr="000D68E9" w:rsidRDefault="000D68E9" w:rsidP="000D68E9">
      <w:pPr>
        <w:numPr>
          <w:ilvl w:val="1"/>
          <w:numId w:val="14"/>
        </w:numPr>
        <w:spacing w:after="120"/>
        <w:ind w:left="1434" w:hanging="357"/>
        <w:contextualSpacing/>
        <w:rPr>
          <w:rFonts w:ascii="Arial Narrow" w:hAnsi="Arial Narrow"/>
          <w:bCs/>
          <w:i/>
          <w:iCs/>
        </w:rPr>
      </w:pPr>
      <w:r w:rsidRPr="000D68E9">
        <w:rPr>
          <w:rFonts w:ascii="Arial Narrow" w:hAnsi="Arial Narrow"/>
          <w:bCs/>
          <w:i/>
          <w:iCs/>
        </w:rPr>
        <w:t>Gas within each cylinder is not Division 2.1 or 2.3; and</w:t>
      </w:r>
    </w:p>
    <w:p w14:paraId="221BCFC8" w14:textId="77777777" w:rsidR="000D68E9" w:rsidRPr="000D68E9" w:rsidRDefault="000D68E9" w:rsidP="000D68E9">
      <w:pPr>
        <w:numPr>
          <w:ilvl w:val="1"/>
          <w:numId w:val="14"/>
        </w:numPr>
        <w:spacing w:after="120"/>
        <w:ind w:left="1434" w:hanging="357"/>
        <w:rPr>
          <w:rFonts w:ascii="Arial Narrow" w:hAnsi="Arial Narrow"/>
          <w:bCs/>
        </w:rPr>
      </w:pPr>
      <w:r w:rsidRPr="000D68E9">
        <w:rPr>
          <w:rFonts w:ascii="Arial Narrow" w:hAnsi="Arial Narrow"/>
          <w:bCs/>
          <w:i/>
          <w:iCs/>
        </w:rPr>
        <w:t>Total internal water capacity of all gas cylinders does not exceed 800L</w:t>
      </w:r>
      <w:r w:rsidRPr="000D68E9">
        <w:rPr>
          <w:rFonts w:ascii="Arial Narrow" w:hAnsi="Arial Narrow"/>
          <w:bCs/>
        </w:rPr>
        <w:t>.</w:t>
      </w:r>
    </w:p>
    <w:bookmarkEnd w:id="5"/>
    <w:p w14:paraId="1FFEF5EA" w14:textId="49743225" w:rsidR="000D68E9" w:rsidRPr="000D68E9" w:rsidRDefault="000D68E9" w:rsidP="000D68E9">
      <w:pPr>
        <w:spacing w:after="120"/>
        <w:rPr>
          <w:rFonts w:ascii="Arial Narrow" w:hAnsi="Arial Narrow"/>
          <w:bCs/>
        </w:rPr>
      </w:pPr>
      <w:r w:rsidRPr="000D68E9">
        <w:rPr>
          <w:rFonts w:ascii="Arial Narrow" w:hAnsi="Arial Narrow"/>
          <w:bCs/>
        </w:rPr>
        <w:t xml:space="preserve">The Determination was endorsed by the CAP as being applicable Australia wide. </w:t>
      </w:r>
    </w:p>
    <w:p w14:paraId="655F3B93" w14:textId="38837F2C" w:rsidR="000D68E9" w:rsidRPr="000D68E9" w:rsidRDefault="000D68E9" w:rsidP="000D68E9">
      <w:pPr>
        <w:spacing w:after="120"/>
        <w:rPr>
          <w:rFonts w:ascii="Arial Narrow" w:hAnsi="Arial Narrow"/>
          <w:bCs/>
        </w:rPr>
      </w:pPr>
      <w:r w:rsidRPr="000D68E9">
        <w:rPr>
          <w:rFonts w:ascii="Arial Narrow" w:hAnsi="Arial Narrow"/>
          <w:bCs/>
        </w:rPr>
        <w:t xml:space="preserve">The intent of the Determination </w:t>
      </w:r>
      <w:r>
        <w:rPr>
          <w:rFonts w:ascii="Arial Narrow" w:hAnsi="Arial Narrow"/>
          <w:bCs/>
        </w:rPr>
        <w:t>was</w:t>
      </w:r>
      <w:r w:rsidRPr="000D68E9">
        <w:rPr>
          <w:rFonts w:ascii="Arial Narrow" w:hAnsi="Arial Narrow"/>
          <w:bCs/>
        </w:rPr>
        <w:t xml:space="preserve"> to allow bundles of cylinders that meet the conditions specified in the Determination to be treated as individual cylinders for the purpose of determining capacity, rather than the total combined capacity of all cylinders in the bundle.  The capacity of a bundle of cylinders is generally considered to be the total of cylinders in the bundle due to the ability to lose the entire contents if the valve is damaged.  The result of the Determinations is that the capacity is retained below 500 kg/l and is therefore not considered a ‘Placardable Unit’ and therefore does not require placarding with an EIP.  Keeping the capacity below 500 kg/l also means that the load is not automatically a placard load under criterion (a) of Table 5.3 of the ADG Code and that neither the vehicle nor the driver requires licensing under Part 18 of the MSI.  </w:t>
      </w:r>
    </w:p>
    <w:p w14:paraId="28C1C4C7" w14:textId="508CCC38" w:rsidR="000D68E9" w:rsidRPr="000D68E9" w:rsidRDefault="000D68E9" w:rsidP="000D68E9">
      <w:pPr>
        <w:spacing w:after="120"/>
        <w:rPr>
          <w:rFonts w:ascii="Arial Narrow" w:hAnsi="Arial Narrow"/>
          <w:bCs/>
        </w:rPr>
      </w:pPr>
      <w:r w:rsidRPr="000D68E9">
        <w:rPr>
          <w:rFonts w:ascii="Arial Narrow" w:hAnsi="Arial Narrow"/>
          <w:bCs/>
        </w:rPr>
        <w:t xml:space="preserve">The WA Department of Mines, Industry Regulation and Safety requested that this Determination be incorporated into ADG </w:t>
      </w:r>
      <w:r>
        <w:rPr>
          <w:rFonts w:ascii="Arial Narrow" w:hAnsi="Arial Narrow"/>
          <w:bCs/>
        </w:rPr>
        <w:t>7.8</w:t>
      </w:r>
      <w:r w:rsidR="003C381C">
        <w:rPr>
          <w:rFonts w:ascii="Arial Narrow" w:hAnsi="Arial Narrow"/>
          <w:bCs/>
        </w:rPr>
        <w:t>.</w:t>
      </w:r>
    </w:p>
    <w:p w14:paraId="2CA6DFC2" w14:textId="33E1AC92" w:rsidR="000D68E9" w:rsidRDefault="003C381C" w:rsidP="000D68E9">
      <w:pPr>
        <w:spacing w:after="120"/>
        <w:rPr>
          <w:rFonts w:ascii="Arial Narrow" w:hAnsi="Arial Narrow"/>
          <w:b/>
        </w:rPr>
      </w:pPr>
      <w:bookmarkStart w:id="6" w:name="_Hlk80099609"/>
      <w:r w:rsidRPr="003C381C">
        <w:rPr>
          <w:rFonts w:ascii="Arial Narrow" w:hAnsi="Arial Narrow"/>
          <w:b/>
        </w:rPr>
        <w:t>Amended provisions</w:t>
      </w:r>
    </w:p>
    <w:p w14:paraId="73A63201" w14:textId="3A0F2558" w:rsidR="003C381C" w:rsidRPr="003C381C" w:rsidRDefault="003C381C" w:rsidP="000D68E9">
      <w:pPr>
        <w:spacing w:after="120"/>
        <w:rPr>
          <w:rFonts w:ascii="Arial Narrow" w:hAnsi="Arial Narrow"/>
          <w:bCs/>
        </w:rPr>
      </w:pPr>
      <w:r>
        <w:rPr>
          <w:rFonts w:ascii="Arial Narrow" w:hAnsi="Arial Narrow"/>
          <w:bCs/>
        </w:rPr>
        <w:t>New text shown bold and underlined.</w:t>
      </w:r>
    </w:p>
    <w:bookmarkEnd w:id="6"/>
    <w:p w14:paraId="1FED29DE" w14:textId="01FD155C" w:rsidR="003C381C" w:rsidRPr="00FC0E66" w:rsidRDefault="003C381C" w:rsidP="00FC0E66">
      <w:pPr>
        <w:pStyle w:val="ListParagraph"/>
        <w:numPr>
          <w:ilvl w:val="0"/>
          <w:numId w:val="17"/>
        </w:numPr>
        <w:spacing w:after="120"/>
        <w:rPr>
          <w:rFonts w:ascii="Arial Narrow" w:hAnsi="Arial Narrow"/>
          <w:b/>
          <w:bCs/>
        </w:rPr>
      </w:pPr>
      <w:r w:rsidRPr="00FC0E66">
        <w:rPr>
          <w:rFonts w:ascii="Arial Narrow" w:hAnsi="Arial Narrow"/>
          <w:b/>
          <w:bCs/>
        </w:rPr>
        <w:t>The definition of ‘Bundle of cylinders’ has been amended as follows:</w:t>
      </w:r>
    </w:p>
    <w:p w14:paraId="686BEFC7" w14:textId="77777777" w:rsidR="003C381C" w:rsidRPr="003C381C" w:rsidRDefault="003C381C" w:rsidP="00FC0E66">
      <w:pPr>
        <w:spacing w:after="120"/>
        <w:ind w:left="360"/>
        <w:rPr>
          <w:rFonts w:ascii="Arial Narrow" w:hAnsi="Arial Narrow"/>
          <w:bCs/>
        </w:rPr>
      </w:pPr>
      <w:r w:rsidRPr="003C381C">
        <w:rPr>
          <w:rFonts w:ascii="Arial Narrow" w:hAnsi="Arial Narrow"/>
          <w:b/>
          <w:bCs/>
        </w:rPr>
        <w:t>Bundle of cylinders</w:t>
      </w:r>
      <w:r w:rsidRPr="003C381C">
        <w:rPr>
          <w:rFonts w:ascii="Arial Narrow" w:hAnsi="Arial Narrow"/>
          <w:bCs/>
        </w:rPr>
        <w:t xml:space="preserve"> means an assembly of cylinders that are fastened together and which are interconnected by a manifold and transported as a unit. The total water capacity must not exceed 3000 litres except that bundles intended for the transport of gases of Division 2.3 must be limited to 1000 litres water capacity.</w:t>
      </w:r>
    </w:p>
    <w:p w14:paraId="0FDAA619" w14:textId="77777777" w:rsidR="003C381C" w:rsidRPr="003C381C" w:rsidRDefault="003C381C" w:rsidP="00FC0E66">
      <w:pPr>
        <w:spacing w:after="120"/>
        <w:ind w:left="360"/>
        <w:rPr>
          <w:rFonts w:ascii="Arial Narrow" w:hAnsi="Arial Narrow"/>
          <w:i/>
          <w:iCs/>
          <w:u w:val="single"/>
        </w:rPr>
      </w:pPr>
      <w:r w:rsidRPr="003C381C">
        <w:rPr>
          <w:rFonts w:ascii="Arial Narrow" w:hAnsi="Arial Narrow"/>
          <w:i/>
          <w:iCs/>
          <w:u w:val="single"/>
        </w:rPr>
        <w:t>NOTE: A bundle of cylinders that meets all of the following conditions may be treated as individual cylinders for the purpose of determining capacity</w:t>
      </w:r>
    </w:p>
    <w:p w14:paraId="5222C9C6" w14:textId="77777777" w:rsidR="003C381C" w:rsidRPr="003C381C" w:rsidRDefault="003C381C" w:rsidP="003C381C">
      <w:pPr>
        <w:numPr>
          <w:ilvl w:val="0"/>
          <w:numId w:val="16"/>
        </w:numPr>
        <w:spacing w:after="120"/>
        <w:rPr>
          <w:rFonts w:ascii="Arial Narrow" w:hAnsi="Arial Narrow"/>
          <w:i/>
          <w:iCs/>
          <w:u w:val="single"/>
        </w:rPr>
      </w:pPr>
      <w:r w:rsidRPr="003C381C">
        <w:rPr>
          <w:rFonts w:ascii="Arial Narrow" w:hAnsi="Arial Narrow"/>
          <w:i/>
          <w:iCs/>
          <w:u w:val="single"/>
        </w:rPr>
        <w:t xml:space="preserve">The internal water capacity of each cylinder does not exceed 50L; </w:t>
      </w:r>
    </w:p>
    <w:p w14:paraId="1BA38FB7" w14:textId="77777777" w:rsidR="003C381C" w:rsidRPr="003C381C" w:rsidRDefault="003C381C" w:rsidP="003C381C">
      <w:pPr>
        <w:numPr>
          <w:ilvl w:val="0"/>
          <w:numId w:val="16"/>
        </w:numPr>
        <w:spacing w:after="120"/>
        <w:rPr>
          <w:rFonts w:ascii="Arial Narrow" w:hAnsi="Arial Narrow"/>
          <w:i/>
          <w:iCs/>
          <w:u w:val="single"/>
        </w:rPr>
      </w:pPr>
      <w:r w:rsidRPr="003C381C">
        <w:rPr>
          <w:rFonts w:ascii="Arial Narrow" w:hAnsi="Arial Narrow"/>
          <w:i/>
          <w:iCs/>
          <w:u w:val="single"/>
        </w:rPr>
        <w:t>None of the cylinders contain gases of Division 2.1 or 2.3; and</w:t>
      </w:r>
    </w:p>
    <w:p w14:paraId="6CCD30B3" w14:textId="77777777" w:rsidR="003C381C" w:rsidRPr="003C381C" w:rsidRDefault="003C381C" w:rsidP="003C381C">
      <w:pPr>
        <w:numPr>
          <w:ilvl w:val="0"/>
          <w:numId w:val="16"/>
        </w:numPr>
        <w:spacing w:after="120"/>
        <w:rPr>
          <w:rFonts w:ascii="Arial Narrow" w:hAnsi="Arial Narrow"/>
          <w:bCs/>
          <w:i/>
          <w:iCs/>
          <w:u w:val="single"/>
        </w:rPr>
      </w:pPr>
      <w:r w:rsidRPr="003C381C">
        <w:rPr>
          <w:rFonts w:ascii="Arial Narrow" w:hAnsi="Arial Narrow"/>
          <w:i/>
          <w:iCs/>
          <w:u w:val="single"/>
        </w:rPr>
        <w:t>The total internal water capacity of all gas cylinders does not exceed 800L</w:t>
      </w:r>
      <w:r w:rsidRPr="003C381C">
        <w:rPr>
          <w:rFonts w:ascii="Arial Narrow" w:hAnsi="Arial Narrow"/>
          <w:bCs/>
          <w:i/>
          <w:iCs/>
          <w:u w:val="single"/>
        </w:rPr>
        <w:t>.</w:t>
      </w:r>
    </w:p>
    <w:p w14:paraId="16D23F56" w14:textId="77777777" w:rsidR="003C381C" w:rsidRPr="003C381C" w:rsidRDefault="003C381C" w:rsidP="003C381C">
      <w:pPr>
        <w:spacing w:after="120"/>
        <w:rPr>
          <w:rFonts w:ascii="Arial Narrow" w:hAnsi="Arial Narrow"/>
          <w:bCs/>
        </w:rPr>
      </w:pPr>
    </w:p>
    <w:p w14:paraId="1AD486E8" w14:textId="6029850A" w:rsidR="003C381C" w:rsidRPr="003C381C" w:rsidRDefault="003C381C" w:rsidP="00E6668F">
      <w:pPr>
        <w:pStyle w:val="ListParagraph"/>
        <w:numPr>
          <w:ilvl w:val="0"/>
          <w:numId w:val="17"/>
        </w:numPr>
        <w:spacing w:after="120"/>
        <w:rPr>
          <w:rFonts w:ascii="Arial Narrow" w:hAnsi="Arial Narrow"/>
          <w:b/>
          <w:bCs/>
        </w:rPr>
      </w:pPr>
      <w:r>
        <w:rPr>
          <w:rFonts w:ascii="Arial Narrow" w:hAnsi="Arial Narrow"/>
          <w:b/>
          <w:bCs/>
        </w:rPr>
        <w:t>The</w:t>
      </w:r>
      <w:r w:rsidRPr="003C381C">
        <w:rPr>
          <w:rFonts w:ascii="Arial Narrow" w:hAnsi="Arial Narrow"/>
          <w:b/>
          <w:bCs/>
        </w:rPr>
        <w:t xml:space="preserve"> definition of ‘Capacity’ </w:t>
      </w:r>
      <w:r>
        <w:rPr>
          <w:rFonts w:ascii="Arial Narrow" w:hAnsi="Arial Narrow"/>
          <w:b/>
          <w:bCs/>
        </w:rPr>
        <w:t xml:space="preserve">has been amended </w:t>
      </w:r>
      <w:r w:rsidRPr="003C381C">
        <w:rPr>
          <w:rFonts w:ascii="Arial Narrow" w:hAnsi="Arial Narrow"/>
          <w:b/>
          <w:bCs/>
        </w:rPr>
        <w:t>as follows:</w:t>
      </w:r>
    </w:p>
    <w:p w14:paraId="664842C1" w14:textId="77777777" w:rsidR="003C381C" w:rsidRPr="003C381C" w:rsidRDefault="003C381C" w:rsidP="00E6668F">
      <w:pPr>
        <w:spacing w:after="120"/>
        <w:ind w:left="360"/>
        <w:rPr>
          <w:rFonts w:ascii="Arial Narrow" w:hAnsi="Arial Narrow"/>
          <w:bCs/>
        </w:rPr>
      </w:pPr>
      <w:r w:rsidRPr="003C381C">
        <w:rPr>
          <w:rFonts w:ascii="Arial Narrow" w:hAnsi="Arial Narrow"/>
          <w:b/>
          <w:bCs/>
        </w:rPr>
        <w:t>Capacity</w:t>
      </w:r>
      <w:r w:rsidRPr="003C381C">
        <w:rPr>
          <w:rFonts w:ascii="Arial Narrow" w:hAnsi="Arial Narrow"/>
          <w:bCs/>
        </w:rPr>
        <w:t xml:space="preserve"> means the total internal volume of the receptacle at a temperature of 15 degrees Celsius expressed in litres or cubic metres. </w:t>
      </w:r>
      <w:r w:rsidRPr="003C381C">
        <w:rPr>
          <w:rFonts w:ascii="Arial Narrow" w:hAnsi="Arial Narrow"/>
          <w:b/>
          <w:u w:val="single"/>
        </w:rPr>
        <w:t>For receptacles that are manifolded together (e.g. MEGCs), the capacity is the internal volume of all spaces connected during transport</w:t>
      </w:r>
      <w:r w:rsidRPr="003C381C">
        <w:rPr>
          <w:rFonts w:ascii="Arial Narrow" w:hAnsi="Arial Narrow"/>
          <w:bCs/>
          <w:u w:val="single"/>
        </w:rPr>
        <w:t>.</w:t>
      </w:r>
    </w:p>
    <w:p w14:paraId="59A7DBFA" w14:textId="77777777" w:rsidR="003C381C" w:rsidRPr="000D68E9" w:rsidRDefault="003C381C" w:rsidP="000D68E9">
      <w:pPr>
        <w:spacing w:after="120"/>
        <w:rPr>
          <w:rFonts w:ascii="Arial Narrow" w:hAnsi="Arial Narrow"/>
          <w:bCs/>
        </w:rPr>
      </w:pPr>
    </w:p>
    <w:p w14:paraId="141A569F" w14:textId="51721586" w:rsidR="00B370B5" w:rsidRPr="004074FB" w:rsidRDefault="00B370B5" w:rsidP="004074FB">
      <w:pPr>
        <w:pBdr>
          <w:bottom w:val="single" w:sz="2" w:space="6" w:color="10CFC9"/>
        </w:pBdr>
        <w:spacing w:before="220" w:after="220" w:line="264" w:lineRule="auto"/>
        <w:rPr>
          <w:rFonts w:ascii="Arial Narrow" w:eastAsia="Cambria" w:hAnsi="Arial Narrow" w:cs="Times New Roman"/>
          <w:b/>
        </w:rPr>
      </w:pPr>
      <w:r w:rsidRPr="004074FB">
        <w:rPr>
          <w:rFonts w:ascii="Arial Narrow" w:eastAsia="Cambria" w:hAnsi="Arial Narrow" w:cs="Times New Roman"/>
          <w:b/>
        </w:rPr>
        <w:t>RENUMBERING AND RELOCATION OF CHAPTERS 6.9 AND 6.10</w:t>
      </w:r>
    </w:p>
    <w:p w14:paraId="4F5B1317" w14:textId="77777777" w:rsidR="00B370B5" w:rsidRPr="000D68E9" w:rsidRDefault="00B370B5" w:rsidP="00B370B5">
      <w:pPr>
        <w:spacing w:after="120"/>
        <w:rPr>
          <w:rFonts w:ascii="Arial Narrow" w:hAnsi="Arial Narrow"/>
          <w:b/>
        </w:rPr>
      </w:pPr>
      <w:r w:rsidRPr="000D68E9">
        <w:rPr>
          <w:rFonts w:ascii="Arial Narrow" w:hAnsi="Arial Narrow"/>
          <w:b/>
        </w:rPr>
        <w:t xml:space="preserve">Problem </w:t>
      </w:r>
    </w:p>
    <w:p w14:paraId="0898302C" w14:textId="0B8D54C3" w:rsidR="009361C7" w:rsidRDefault="00B370B5" w:rsidP="00B370B5">
      <w:pPr>
        <w:spacing w:after="120"/>
        <w:rPr>
          <w:rFonts w:ascii="Arial Narrow" w:hAnsi="Arial Narrow"/>
          <w:bCs/>
        </w:rPr>
      </w:pPr>
      <w:r>
        <w:rPr>
          <w:rFonts w:ascii="Arial Narrow" w:hAnsi="Arial Narrow"/>
          <w:bCs/>
        </w:rPr>
        <w:lastRenderedPageBreak/>
        <w:t xml:space="preserve">A new chapter (6.9) has been added to the UN MR to specify the </w:t>
      </w:r>
      <w:r w:rsidRPr="00B370B5">
        <w:rPr>
          <w:rFonts w:ascii="Arial Narrow" w:hAnsi="Arial Narrow"/>
          <w:bCs/>
        </w:rPr>
        <w:t>requirements for the design, construction, inspection, and testing of portable tanks with shells made of fibre reinforced plastics (FRP) materials</w:t>
      </w:r>
      <w:r>
        <w:rPr>
          <w:rFonts w:ascii="Arial Narrow" w:hAnsi="Arial Narrow"/>
          <w:bCs/>
        </w:rPr>
        <w:t>.  P</w:t>
      </w:r>
      <w:r w:rsidR="00097E01">
        <w:rPr>
          <w:rFonts w:ascii="Arial Narrow" w:hAnsi="Arial Narrow"/>
          <w:bCs/>
        </w:rPr>
        <w:t>a</w:t>
      </w:r>
      <w:r>
        <w:rPr>
          <w:rFonts w:ascii="Arial Narrow" w:hAnsi="Arial Narrow"/>
          <w:bCs/>
        </w:rPr>
        <w:t xml:space="preserve">rt 9 of the UN MR editions prior to UN 22 concluded with Chapter 6.8.   Existing chapters 6.9, 6.10 and 6.11 of the ADG Code are unique Australian chapters. </w:t>
      </w:r>
      <w:r w:rsidR="009361C7">
        <w:rPr>
          <w:rFonts w:ascii="Arial Narrow" w:hAnsi="Arial Narrow"/>
          <w:bCs/>
        </w:rPr>
        <w:t>I</w:t>
      </w:r>
      <w:r>
        <w:rPr>
          <w:rFonts w:ascii="Arial Narrow" w:hAnsi="Arial Narrow"/>
          <w:bCs/>
        </w:rPr>
        <w:t>ncorporat</w:t>
      </w:r>
      <w:r w:rsidR="009361C7">
        <w:rPr>
          <w:rFonts w:ascii="Arial Narrow" w:hAnsi="Arial Narrow"/>
          <w:bCs/>
        </w:rPr>
        <w:t>ing</w:t>
      </w:r>
      <w:r>
        <w:rPr>
          <w:rFonts w:ascii="Arial Narrow" w:hAnsi="Arial Narrow"/>
          <w:bCs/>
        </w:rPr>
        <w:t xml:space="preserve"> the new chapter for FRP portable tanks</w:t>
      </w:r>
      <w:r w:rsidR="009361C7">
        <w:rPr>
          <w:rFonts w:ascii="Arial Narrow" w:hAnsi="Arial Narrow"/>
          <w:bCs/>
        </w:rPr>
        <w:t xml:space="preserve"> as Chapter 6.9 to replicate the UN MR is necessary to </w:t>
      </w:r>
      <w:r>
        <w:rPr>
          <w:rFonts w:ascii="Arial Narrow" w:hAnsi="Arial Narrow"/>
          <w:bCs/>
        </w:rPr>
        <w:t xml:space="preserve">ensure </w:t>
      </w:r>
      <w:r w:rsidR="009361C7">
        <w:rPr>
          <w:rFonts w:ascii="Arial Narrow" w:hAnsi="Arial Narrow"/>
          <w:bCs/>
        </w:rPr>
        <w:t>cross references throughout the Code are accurate and maintainable.</w:t>
      </w:r>
    </w:p>
    <w:p w14:paraId="70A6F331" w14:textId="6D10E479" w:rsidR="009361C7" w:rsidRPr="009361C7" w:rsidRDefault="009361C7" w:rsidP="00B370B5">
      <w:pPr>
        <w:spacing w:after="120"/>
        <w:rPr>
          <w:rFonts w:ascii="Arial Narrow" w:hAnsi="Arial Narrow"/>
          <w:b/>
        </w:rPr>
      </w:pPr>
      <w:r w:rsidRPr="009361C7">
        <w:rPr>
          <w:rFonts w:ascii="Arial Narrow" w:hAnsi="Arial Narrow"/>
          <w:b/>
        </w:rPr>
        <w:t>Action taken</w:t>
      </w:r>
    </w:p>
    <w:p w14:paraId="65A6E73E" w14:textId="77777777" w:rsidR="009361C7" w:rsidRDefault="009361C7" w:rsidP="00B370B5">
      <w:pPr>
        <w:spacing w:after="120"/>
        <w:rPr>
          <w:rFonts w:ascii="Arial Narrow" w:hAnsi="Arial Narrow"/>
          <w:bCs/>
        </w:rPr>
      </w:pPr>
      <w:r>
        <w:rPr>
          <w:rFonts w:ascii="Arial Narrow" w:hAnsi="Arial Narrow"/>
          <w:bCs/>
        </w:rPr>
        <w:t>To accommodate the new chapter, 6.9, for FRP portable tanks, the following chapters have been relocated and renumbered.</w:t>
      </w:r>
    </w:p>
    <w:tbl>
      <w:tblPr>
        <w:tblStyle w:val="TableGrid"/>
        <w:tblW w:w="0" w:type="auto"/>
        <w:tblLook w:val="04A0" w:firstRow="1" w:lastRow="0" w:firstColumn="1" w:lastColumn="0" w:noHBand="0" w:noVBand="1"/>
      </w:tblPr>
      <w:tblGrid>
        <w:gridCol w:w="54"/>
        <w:gridCol w:w="5191"/>
        <w:gridCol w:w="1913"/>
        <w:gridCol w:w="1914"/>
      </w:tblGrid>
      <w:tr w:rsidR="009361C7" w:rsidRPr="009361C7" w14:paraId="73128B30" w14:textId="77777777" w:rsidTr="00B91B06">
        <w:trPr>
          <w:gridBefore w:val="1"/>
          <w:cnfStyle w:val="100000000000" w:firstRow="1" w:lastRow="0" w:firstColumn="0" w:lastColumn="0" w:oddVBand="0" w:evenVBand="0" w:oddHBand="0" w:evenHBand="0" w:firstRowFirstColumn="0" w:firstRowLastColumn="0" w:lastRowFirstColumn="0" w:lastRowLastColumn="0"/>
          <w:wBefore w:w="54" w:type="dxa"/>
        </w:trPr>
        <w:tc>
          <w:tcPr>
            <w:tcW w:w="5191" w:type="dxa"/>
          </w:tcPr>
          <w:p w14:paraId="4385FAF6" w14:textId="79BAD88A" w:rsidR="009361C7" w:rsidRPr="009361C7" w:rsidRDefault="009361C7" w:rsidP="009361C7">
            <w:pPr>
              <w:spacing w:after="120"/>
              <w:jc w:val="center"/>
              <w:rPr>
                <w:rFonts w:ascii="Arial Narrow" w:hAnsi="Arial Narrow"/>
                <w:b/>
              </w:rPr>
            </w:pPr>
            <w:r>
              <w:rPr>
                <w:rFonts w:ascii="Arial Narrow" w:hAnsi="Arial Narrow"/>
                <w:b/>
              </w:rPr>
              <w:t>Chapter</w:t>
            </w:r>
          </w:p>
        </w:tc>
        <w:tc>
          <w:tcPr>
            <w:tcW w:w="1913" w:type="dxa"/>
            <w:vAlign w:val="center"/>
          </w:tcPr>
          <w:p w14:paraId="57796BF3" w14:textId="04C63904" w:rsidR="009361C7" w:rsidRPr="009361C7" w:rsidRDefault="009361C7" w:rsidP="009361C7">
            <w:pPr>
              <w:spacing w:after="120"/>
              <w:jc w:val="center"/>
              <w:rPr>
                <w:rFonts w:ascii="Arial Narrow" w:hAnsi="Arial Narrow"/>
                <w:b/>
              </w:rPr>
            </w:pPr>
            <w:r w:rsidRPr="009361C7">
              <w:rPr>
                <w:rFonts w:ascii="Arial Narrow" w:hAnsi="Arial Narrow"/>
                <w:b/>
              </w:rPr>
              <w:t>ADG 7.8</w:t>
            </w:r>
          </w:p>
        </w:tc>
        <w:tc>
          <w:tcPr>
            <w:tcW w:w="1914" w:type="dxa"/>
            <w:vAlign w:val="center"/>
          </w:tcPr>
          <w:p w14:paraId="682F2104" w14:textId="5FB69812" w:rsidR="009361C7" w:rsidRPr="009361C7" w:rsidRDefault="009361C7" w:rsidP="009361C7">
            <w:pPr>
              <w:spacing w:after="120"/>
              <w:jc w:val="center"/>
              <w:rPr>
                <w:rFonts w:ascii="Arial Narrow" w:hAnsi="Arial Narrow"/>
                <w:b/>
              </w:rPr>
            </w:pPr>
            <w:r w:rsidRPr="009361C7">
              <w:rPr>
                <w:rFonts w:ascii="Arial Narrow" w:hAnsi="Arial Narrow"/>
                <w:b/>
              </w:rPr>
              <w:t>ADG 7.8</w:t>
            </w:r>
          </w:p>
        </w:tc>
      </w:tr>
      <w:tr w:rsidR="009361C7" w:rsidRPr="009361C7" w14:paraId="3F44BDB5" w14:textId="77777777" w:rsidTr="00B91B06">
        <w:tc>
          <w:tcPr>
            <w:tcW w:w="5245" w:type="dxa"/>
            <w:gridSpan w:val="2"/>
          </w:tcPr>
          <w:p w14:paraId="50764EE9" w14:textId="0BF6FBF9" w:rsidR="009361C7" w:rsidRDefault="00B91B06" w:rsidP="009361C7">
            <w:pPr>
              <w:spacing w:after="120"/>
              <w:rPr>
                <w:rFonts w:ascii="Arial Narrow" w:hAnsi="Arial Narrow"/>
                <w:bCs/>
              </w:rPr>
            </w:pPr>
            <w:r>
              <w:rPr>
                <w:rFonts w:ascii="Arial Narrow" w:hAnsi="Arial Narrow"/>
                <w:bCs/>
              </w:rPr>
              <w:t>Design, construction, testing and approval of tank containers</w:t>
            </w:r>
          </w:p>
        </w:tc>
        <w:tc>
          <w:tcPr>
            <w:tcW w:w="1913" w:type="dxa"/>
            <w:vAlign w:val="center"/>
          </w:tcPr>
          <w:p w14:paraId="4DACB110" w14:textId="37DF6023" w:rsidR="009361C7" w:rsidRPr="009361C7" w:rsidRDefault="009361C7" w:rsidP="009361C7">
            <w:pPr>
              <w:spacing w:after="120"/>
              <w:rPr>
                <w:rFonts w:ascii="Arial Narrow" w:hAnsi="Arial Narrow"/>
                <w:b/>
              </w:rPr>
            </w:pPr>
            <w:r>
              <w:rPr>
                <w:rFonts w:ascii="Arial Narrow" w:hAnsi="Arial Narrow"/>
                <w:bCs/>
              </w:rPr>
              <w:t>Chapter 6.9</w:t>
            </w:r>
          </w:p>
        </w:tc>
        <w:tc>
          <w:tcPr>
            <w:tcW w:w="1914" w:type="dxa"/>
            <w:vAlign w:val="center"/>
          </w:tcPr>
          <w:p w14:paraId="751199C3" w14:textId="108A081C" w:rsidR="009361C7" w:rsidRPr="009361C7" w:rsidRDefault="009361C7" w:rsidP="009361C7">
            <w:pPr>
              <w:spacing w:after="120"/>
              <w:rPr>
                <w:rFonts w:ascii="Arial Narrow" w:hAnsi="Arial Narrow"/>
                <w:b/>
              </w:rPr>
            </w:pPr>
            <w:r>
              <w:rPr>
                <w:rFonts w:ascii="Arial Narrow" w:hAnsi="Arial Narrow"/>
                <w:bCs/>
              </w:rPr>
              <w:t xml:space="preserve">Chapter 6.10 </w:t>
            </w:r>
          </w:p>
        </w:tc>
      </w:tr>
      <w:tr w:rsidR="009361C7" w:rsidRPr="009361C7" w14:paraId="29578091" w14:textId="77777777" w:rsidTr="00B91B06">
        <w:tc>
          <w:tcPr>
            <w:tcW w:w="5245" w:type="dxa"/>
            <w:gridSpan w:val="2"/>
          </w:tcPr>
          <w:p w14:paraId="47D466B0" w14:textId="461E8943" w:rsidR="009361C7" w:rsidRDefault="00B91B06" w:rsidP="009361C7">
            <w:pPr>
              <w:spacing w:after="120"/>
              <w:rPr>
                <w:rFonts w:ascii="Arial Narrow" w:hAnsi="Arial Narrow"/>
                <w:bCs/>
              </w:rPr>
            </w:pPr>
            <w:r>
              <w:rPr>
                <w:rFonts w:ascii="Arial Narrow" w:hAnsi="Arial Narrow"/>
                <w:bCs/>
              </w:rPr>
              <w:t>Freight Containers</w:t>
            </w:r>
          </w:p>
        </w:tc>
        <w:tc>
          <w:tcPr>
            <w:tcW w:w="1913" w:type="dxa"/>
            <w:vAlign w:val="center"/>
          </w:tcPr>
          <w:p w14:paraId="446A4EC5" w14:textId="27A8E367" w:rsidR="009361C7" w:rsidRDefault="009361C7" w:rsidP="009361C7">
            <w:pPr>
              <w:spacing w:after="120"/>
              <w:rPr>
                <w:rFonts w:ascii="Arial Narrow" w:hAnsi="Arial Narrow"/>
                <w:bCs/>
              </w:rPr>
            </w:pPr>
            <w:r>
              <w:rPr>
                <w:rFonts w:ascii="Arial Narrow" w:hAnsi="Arial Narrow"/>
                <w:bCs/>
              </w:rPr>
              <w:t xml:space="preserve">Chapter 6.10 </w:t>
            </w:r>
          </w:p>
        </w:tc>
        <w:tc>
          <w:tcPr>
            <w:tcW w:w="1914" w:type="dxa"/>
            <w:vAlign w:val="center"/>
          </w:tcPr>
          <w:p w14:paraId="3D5CB9FA" w14:textId="4785BB98" w:rsidR="009361C7" w:rsidRDefault="00B91B06" w:rsidP="009361C7">
            <w:pPr>
              <w:spacing w:after="120"/>
              <w:rPr>
                <w:rFonts w:ascii="Arial Narrow" w:hAnsi="Arial Narrow"/>
                <w:bCs/>
              </w:rPr>
            </w:pPr>
            <w:r>
              <w:rPr>
                <w:rFonts w:ascii="Arial Narrow" w:hAnsi="Arial Narrow"/>
                <w:bCs/>
              </w:rPr>
              <w:t>Chapter 6.12</w:t>
            </w:r>
          </w:p>
        </w:tc>
      </w:tr>
      <w:tr w:rsidR="00B91B06" w:rsidRPr="009361C7" w14:paraId="1CA1D525" w14:textId="77777777" w:rsidTr="00B91B06">
        <w:tc>
          <w:tcPr>
            <w:tcW w:w="5245" w:type="dxa"/>
            <w:gridSpan w:val="2"/>
          </w:tcPr>
          <w:p w14:paraId="2D89F2E6" w14:textId="337FB8D7" w:rsidR="00B91B06" w:rsidRDefault="00B91B06" w:rsidP="009361C7">
            <w:pPr>
              <w:spacing w:after="120"/>
              <w:rPr>
                <w:rFonts w:ascii="Arial Narrow" w:hAnsi="Arial Narrow"/>
                <w:bCs/>
              </w:rPr>
            </w:pPr>
            <w:r>
              <w:rPr>
                <w:rFonts w:ascii="Arial Narrow" w:hAnsi="Arial Narrow"/>
                <w:bCs/>
              </w:rPr>
              <w:t>Segregation Devices</w:t>
            </w:r>
          </w:p>
        </w:tc>
        <w:tc>
          <w:tcPr>
            <w:tcW w:w="1913" w:type="dxa"/>
            <w:vAlign w:val="center"/>
          </w:tcPr>
          <w:p w14:paraId="20383540" w14:textId="13C41BD0" w:rsidR="00B91B06" w:rsidRDefault="00B91B06" w:rsidP="009361C7">
            <w:pPr>
              <w:spacing w:after="120"/>
              <w:rPr>
                <w:rFonts w:ascii="Arial Narrow" w:hAnsi="Arial Narrow"/>
                <w:bCs/>
              </w:rPr>
            </w:pPr>
            <w:r>
              <w:rPr>
                <w:rFonts w:ascii="Arial Narrow" w:hAnsi="Arial Narrow"/>
                <w:bCs/>
              </w:rPr>
              <w:t>Chapter 6.11</w:t>
            </w:r>
          </w:p>
        </w:tc>
        <w:tc>
          <w:tcPr>
            <w:tcW w:w="1914" w:type="dxa"/>
            <w:vAlign w:val="center"/>
          </w:tcPr>
          <w:p w14:paraId="275FADF8" w14:textId="002A2F4C" w:rsidR="00B91B06" w:rsidRDefault="00B91B06" w:rsidP="009361C7">
            <w:pPr>
              <w:spacing w:after="120"/>
              <w:rPr>
                <w:rFonts w:ascii="Arial Narrow" w:hAnsi="Arial Narrow"/>
                <w:bCs/>
              </w:rPr>
            </w:pPr>
            <w:r>
              <w:rPr>
                <w:rFonts w:ascii="Arial Narrow" w:hAnsi="Arial Narrow"/>
                <w:bCs/>
              </w:rPr>
              <w:t>Chapter 6.11</w:t>
            </w:r>
          </w:p>
        </w:tc>
      </w:tr>
    </w:tbl>
    <w:p w14:paraId="20B0A0D4" w14:textId="77777777" w:rsidR="00B370B5" w:rsidRDefault="00B370B5" w:rsidP="00571AD9">
      <w:pPr>
        <w:rPr>
          <w:rFonts w:ascii="Arial Narrow" w:hAnsi="Arial Narrow"/>
          <w:b/>
        </w:rPr>
      </w:pPr>
    </w:p>
    <w:p w14:paraId="493713D2" w14:textId="77777777" w:rsidR="00B370B5" w:rsidRDefault="00B370B5" w:rsidP="00571AD9">
      <w:pPr>
        <w:rPr>
          <w:rFonts w:ascii="Arial Narrow" w:hAnsi="Arial Narrow"/>
          <w:b/>
        </w:rPr>
      </w:pPr>
    </w:p>
    <w:p w14:paraId="2BBE400B" w14:textId="5179D040" w:rsidR="00571AD9" w:rsidRPr="004074FB" w:rsidRDefault="007C3C02" w:rsidP="004074FB">
      <w:pPr>
        <w:pBdr>
          <w:bottom w:val="single" w:sz="2" w:space="6" w:color="10CFC9"/>
        </w:pBdr>
        <w:spacing w:before="220" w:after="220" w:line="264" w:lineRule="auto"/>
        <w:rPr>
          <w:rFonts w:ascii="Arial Narrow" w:eastAsia="Cambria" w:hAnsi="Arial Narrow" w:cs="Times New Roman"/>
          <w:b/>
        </w:rPr>
      </w:pPr>
      <w:r w:rsidRPr="004074FB">
        <w:rPr>
          <w:rFonts w:ascii="Arial Narrow" w:eastAsia="Cambria" w:hAnsi="Arial Narrow" w:cs="Times New Roman"/>
          <w:b/>
        </w:rPr>
        <w:t>USE OF CERTIFIED LOAD RESTRAINT CURTAIN SYSTEMS – 8.1.3</w:t>
      </w:r>
    </w:p>
    <w:p w14:paraId="09F211EB" w14:textId="4BD9BDEB" w:rsidR="00B370B5" w:rsidRPr="00B370B5" w:rsidRDefault="00B370B5" w:rsidP="00B370B5">
      <w:pPr>
        <w:spacing w:after="120"/>
        <w:rPr>
          <w:rFonts w:ascii="Arial Narrow" w:hAnsi="Arial Narrow"/>
          <w:b/>
        </w:rPr>
      </w:pPr>
      <w:r w:rsidRPr="00B370B5">
        <w:rPr>
          <w:rFonts w:ascii="Arial Narrow" w:hAnsi="Arial Narrow"/>
          <w:b/>
        </w:rPr>
        <w:t>Problem</w:t>
      </w:r>
    </w:p>
    <w:p w14:paraId="67D6190A" w14:textId="3D9B4D52" w:rsidR="00E6668F" w:rsidRPr="00E6668F" w:rsidRDefault="00E6668F" w:rsidP="00E6668F">
      <w:pPr>
        <w:rPr>
          <w:rFonts w:ascii="Arial Narrow" w:hAnsi="Arial Narrow"/>
        </w:rPr>
      </w:pPr>
      <w:r w:rsidRPr="00E6668F">
        <w:rPr>
          <w:rFonts w:ascii="Arial Narrow" w:hAnsi="Arial Narrow"/>
        </w:rPr>
        <w:t>The ADG Code (8.1.3) specifies the use of gates when transporting a placard load of unpackaged dangerous articles or dangerous goods in packages in a curtain sided vehicle.</w:t>
      </w:r>
    </w:p>
    <w:p w14:paraId="5189AD90" w14:textId="1D4FDC14" w:rsidR="00E6668F" w:rsidRPr="00E6668F" w:rsidRDefault="00E6668F" w:rsidP="00E6668F">
      <w:pPr>
        <w:rPr>
          <w:rFonts w:ascii="Arial Narrow" w:hAnsi="Arial Narrow"/>
        </w:rPr>
      </w:pPr>
      <w:r w:rsidRPr="00E6668F">
        <w:rPr>
          <w:rFonts w:ascii="Arial Narrow" w:hAnsi="Arial Narrow"/>
        </w:rPr>
        <w:t xml:space="preserve">There have been significant advancements in load restraint methodologies and legislative requirements since this requirement was first written.  In particular, the introduction of ‘certified load restraint curtain (CLRC) systems’.  CAP have been requested, and have granted, one exemption from 8.1.3 where a CLRC system is used. The blanket requirement for gates is </w:t>
      </w:r>
      <w:r>
        <w:rPr>
          <w:rFonts w:ascii="Arial Narrow" w:hAnsi="Arial Narrow"/>
        </w:rPr>
        <w:t xml:space="preserve">therefore </w:t>
      </w:r>
      <w:r w:rsidRPr="00E6668F">
        <w:rPr>
          <w:rFonts w:ascii="Arial Narrow" w:hAnsi="Arial Narrow"/>
        </w:rPr>
        <w:t xml:space="preserve">no longer justified.  </w:t>
      </w:r>
    </w:p>
    <w:p w14:paraId="29D46127" w14:textId="77777777" w:rsidR="00E6668F" w:rsidRPr="00E6668F" w:rsidRDefault="00E6668F" w:rsidP="00E6668F">
      <w:pPr>
        <w:rPr>
          <w:rFonts w:ascii="Arial Narrow" w:hAnsi="Arial Narrow"/>
        </w:rPr>
      </w:pPr>
      <w:r w:rsidRPr="00E6668F">
        <w:rPr>
          <w:rFonts w:ascii="Arial Narrow" w:hAnsi="Arial Narrow"/>
        </w:rPr>
        <w:t>CLRC systems are tested and certified to provide load restraint meeting the performance standards specified in the Heavy Vehicle (Mass, Dimension &amp; Loading) National Regulations.  A rated CLRC system, when used as specified in the certification, provides the same protection as a similarly rated gate.</w:t>
      </w:r>
    </w:p>
    <w:p w14:paraId="539FE7F6" w14:textId="77777777" w:rsidR="00E6668F" w:rsidRPr="00E6668F" w:rsidRDefault="00E6668F" w:rsidP="00E6668F">
      <w:pPr>
        <w:rPr>
          <w:rFonts w:ascii="Arial Narrow" w:hAnsi="Arial Narrow"/>
        </w:rPr>
      </w:pPr>
      <w:r w:rsidRPr="00E6668F">
        <w:rPr>
          <w:rFonts w:ascii="Arial Narrow" w:hAnsi="Arial Narrow"/>
        </w:rPr>
        <w:t>The requirement for gates, as currently written in 8.1.3 provides no qualification that the gates must be rated or that the load must not exceed that rating.  Nor does it specify that the gates must form part of a complete load restraint methodology or system.  As such, the blanket requirements for gates could be seen as potentially providing an inferior level of safety.</w:t>
      </w:r>
    </w:p>
    <w:p w14:paraId="288E331C" w14:textId="0A5291B1" w:rsidR="00970E80" w:rsidRDefault="00970E80" w:rsidP="00E6668F">
      <w:pPr>
        <w:spacing w:after="120"/>
        <w:rPr>
          <w:rFonts w:ascii="Arial Narrow" w:hAnsi="Arial Narrow"/>
          <w:b/>
        </w:rPr>
      </w:pPr>
      <w:r>
        <w:rPr>
          <w:rFonts w:ascii="Arial Narrow" w:hAnsi="Arial Narrow"/>
          <w:b/>
        </w:rPr>
        <w:t>Action taken</w:t>
      </w:r>
    </w:p>
    <w:p w14:paraId="1CABFBE9" w14:textId="7FC4E46A" w:rsidR="00970E80" w:rsidRPr="00970E80" w:rsidRDefault="00970E80" w:rsidP="00970E80">
      <w:pPr>
        <w:spacing w:after="120"/>
        <w:contextualSpacing/>
        <w:rPr>
          <w:rFonts w:ascii="Arial Narrow" w:hAnsi="Arial Narrow"/>
          <w:bCs/>
        </w:rPr>
      </w:pPr>
      <w:r w:rsidRPr="00970E80">
        <w:rPr>
          <w:rFonts w:ascii="Arial Narrow" w:hAnsi="Arial Narrow"/>
          <w:bCs/>
        </w:rPr>
        <w:t>8.1.3.2 of the Code has been amended to:</w:t>
      </w:r>
    </w:p>
    <w:p w14:paraId="61258F73" w14:textId="73C29171" w:rsidR="00970E80" w:rsidRPr="00970E80" w:rsidRDefault="00970E80" w:rsidP="00970E80">
      <w:pPr>
        <w:numPr>
          <w:ilvl w:val="0"/>
          <w:numId w:val="20"/>
        </w:numPr>
        <w:spacing w:after="120"/>
        <w:contextualSpacing/>
        <w:rPr>
          <w:rFonts w:ascii="Arial Narrow" w:hAnsi="Arial Narrow"/>
          <w:bCs/>
        </w:rPr>
      </w:pPr>
      <w:r w:rsidRPr="00970E80">
        <w:rPr>
          <w:rFonts w:ascii="Arial Narrow" w:hAnsi="Arial Narrow"/>
          <w:bCs/>
        </w:rPr>
        <w:t>Allow the use of either rated gates or a certified load re</w:t>
      </w:r>
      <w:r>
        <w:rPr>
          <w:rFonts w:ascii="Arial Narrow" w:hAnsi="Arial Narrow"/>
          <w:bCs/>
        </w:rPr>
        <w:t>s</w:t>
      </w:r>
      <w:r w:rsidRPr="00970E80">
        <w:rPr>
          <w:rFonts w:ascii="Arial Narrow" w:hAnsi="Arial Narrow"/>
          <w:bCs/>
        </w:rPr>
        <w:t>traint curtain system</w:t>
      </w:r>
    </w:p>
    <w:p w14:paraId="00666879" w14:textId="77777777" w:rsidR="00970E80" w:rsidRDefault="00970E80" w:rsidP="00970E80">
      <w:pPr>
        <w:numPr>
          <w:ilvl w:val="0"/>
          <w:numId w:val="20"/>
        </w:numPr>
        <w:spacing w:after="120"/>
        <w:contextualSpacing/>
        <w:rPr>
          <w:rFonts w:ascii="Arial Narrow" w:hAnsi="Arial Narrow"/>
          <w:bCs/>
        </w:rPr>
      </w:pPr>
      <w:r w:rsidRPr="00970E80">
        <w:rPr>
          <w:rFonts w:ascii="Arial Narrow" w:hAnsi="Arial Narrow"/>
          <w:bCs/>
        </w:rPr>
        <w:t>Specify that where rated gates are used, they must form part of a complete load restraint system that</w:t>
      </w:r>
      <w:r>
        <w:rPr>
          <w:rFonts w:ascii="Arial Narrow" w:hAnsi="Arial Narrow"/>
          <w:bCs/>
        </w:rPr>
        <w:t xml:space="preserve"> </w:t>
      </w:r>
      <w:r w:rsidRPr="00970E80">
        <w:rPr>
          <w:rFonts w:ascii="Arial Narrow" w:hAnsi="Arial Narrow"/>
          <w:bCs/>
        </w:rPr>
        <w:t>complies with the load restraint guide</w:t>
      </w:r>
    </w:p>
    <w:p w14:paraId="53126849" w14:textId="5BFC7D79" w:rsidR="00970E80" w:rsidRPr="00970E80" w:rsidRDefault="00970E80" w:rsidP="00970E80">
      <w:pPr>
        <w:numPr>
          <w:ilvl w:val="0"/>
          <w:numId w:val="20"/>
        </w:numPr>
        <w:spacing w:after="120"/>
        <w:ind w:left="714" w:hanging="357"/>
        <w:rPr>
          <w:rFonts w:ascii="Arial Narrow" w:hAnsi="Arial Narrow"/>
          <w:bCs/>
        </w:rPr>
      </w:pPr>
      <w:r w:rsidRPr="00970E80">
        <w:rPr>
          <w:rFonts w:ascii="Arial Narrow" w:hAnsi="Arial Narrow"/>
          <w:bCs/>
        </w:rPr>
        <w:t>Specify that where a certified load restraint curtain system is used, it must be used as specified in the certification</w:t>
      </w:r>
    </w:p>
    <w:p w14:paraId="6E00D3F4" w14:textId="78852FF8" w:rsidR="00E6668F" w:rsidRDefault="00E6668F" w:rsidP="00E6668F">
      <w:pPr>
        <w:spacing w:after="120"/>
        <w:rPr>
          <w:rFonts w:ascii="Arial Narrow" w:hAnsi="Arial Narrow"/>
          <w:b/>
        </w:rPr>
      </w:pPr>
      <w:r w:rsidRPr="003C381C">
        <w:rPr>
          <w:rFonts w:ascii="Arial Narrow" w:hAnsi="Arial Narrow"/>
          <w:b/>
        </w:rPr>
        <w:t>Amended provisions</w:t>
      </w:r>
    </w:p>
    <w:p w14:paraId="10ED966E" w14:textId="49C2C53D" w:rsidR="00E6668F" w:rsidRPr="003C381C" w:rsidRDefault="00970E80" w:rsidP="00E6668F">
      <w:pPr>
        <w:spacing w:after="120"/>
        <w:rPr>
          <w:rFonts w:ascii="Arial Narrow" w:hAnsi="Arial Narrow"/>
          <w:bCs/>
        </w:rPr>
      </w:pPr>
      <w:r>
        <w:rPr>
          <w:rFonts w:ascii="Arial Narrow" w:hAnsi="Arial Narrow"/>
          <w:bCs/>
        </w:rPr>
        <w:lastRenderedPageBreak/>
        <w:t>N</w:t>
      </w:r>
      <w:r w:rsidR="00E6668F">
        <w:rPr>
          <w:rFonts w:ascii="Arial Narrow" w:hAnsi="Arial Narrow"/>
          <w:bCs/>
        </w:rPr>
        <w:t>ew text shown bold and underlined.</w:t>
      </w:r>
    </w:p>
    <w:p w14:paraId="1C1756E5" w14:textId="42F294FD" w:rsidR="00E6668F" w:rsidRPr="00B938ED" w:rsidRDefault="00E6668F" w:rsidP="00E6668F">
      <w:pPr>
        <w:ind w:left="1713" w:hanging="993"/>
        <w:rPr>
          <w:rFonts w:ascii="Arial Narrow" w:hAnsi="Arial Narrow"/>
          <w:i/>
          <w:iCs/>
        </w:rPr>
      </w:pPr>
      <w:r w:rsidRPr="00B938ED">
        <w:rPr>
          <w:rFonts w:ascii="Arial Narrow" w:hAnsi="Arial Narrow"/>
          <w:i/>
          <w:iCs/>
        </w:rPr>
        <w:t>8.1.3.2</w:t>
      </w:r>
      <w:r w:rsidRPr="00B938ED">
        <w:rPr>
          <w:rFonts w:ascii="Arial Narrow" w:hAnsi="Arial Narrow"/>
          <w:i/>
          <w:iCs/>
        </w:rPr>
        <w:tab/>
        <w:t xml:space="preserve">Except where 8.1.3.4 or 8.1.3.5 applies, if unpackaged dangerous articles or dangerous goods in packages are transported on a vehicle or container described in 8.1.3.1, </w:t>
      </w:r>
      <w:r w:rsidRPr="00B938ED">
        <w:rPr>
          <w:rFonts w:ascii="Arial Narrow" w:hAnsi="Arial Narrow"/>
          <w:b/>
          <w:bCs/>
          <w:i/>
          <w:iCs/>
          <w:u w:val="single"/>
        </w:rPr>
        <w:t>they must be restrained using one of the following methods</w:t>
      </w:r>
      <w:r w:rsidRPr="00B938ED">
        <w:rPr>
          <w:rFonts w:ascii="Arial Narrow" w:hAnsi="Arial Narrow"/>
          <w:i/>
          <w:iCs/>
        </w:rPr>
        <w:t>:</w:t>
      </w:r>
    </w:p>
    <w:p w14:paraId="466D6223" w14:textId="7D83E81A" w:rsidR="00E6668F" w:rsidRPr="00B938ED" w:rsidRDefault="00B938ED" w:rsidP="00970E80">
      <w:pPr>
        <w:numPr>
          <w:ilvl w:val="0"/>
          <w:numId w:val="19"/>
        </w:numPr>
        <w:spacing w:after="120"/>
        <w:ind w:hanging="357"/>
        <w:contextualSpacing/>
        <w:rPr>
          <w:rFonts w:ascii="Arial Narrow" w:hAnsi="Arial Narrow"/>
          <w:bCs/>
          <w:i/>
          <w:iCs/>
        </w:rPr>
      </w:pPr>
      <w:r w:rsidRPr="00B938ED">
        <w:rPr>
          <w:rFonts w:ascii="Arial Narrow" w:hAnsi="Arial Narrow"/>
          <w:bCs/>
          <w:i/>
          <w:iCs/>
          <w:strike/>
        </w:rPr>
        <w:t>they must be</w:t>
      </w:r>
      <w:r>
        <w:rPr>
          <w:rFonts w:ascii="Arial Narrow" w:hAnsi="Arial Narrow"/>
          <w:bCs/>
          <w:i/>
          <w:iCs/>
        </w:rPr>
        <w:t xml:space="preserve"> </w:t>
      </w:r>
      <w:r w:rsidR="00E6668F" w:rsidRPr="00B938ED">
        <w:rPr>
          <w:rFonts w:ascii="Arial Narrow" w:hAnsi="Arial Narrow"/>
          <w:bCs/>
          <w:i/>
          <w:iCs/>
        </w:rPr>
        <w:t xml:space="preserve">stowed and restrained within rigid sides or </w:t>
      </w:r>
      <w:r w:rsidR="00E6668F" w:rsidRPr="00B938ED">
        <w:rPr>
          <w:rFonts w:ascii="Arial Narrow" w:hAnsi="Arial Narrow"/>
          <w:b/>
          <w:i/>
          <w:iCs/>
          <w:u w:val="single"/>
        </w:rPr>
        <w:t>load-rated</w:t>
      </w:r>
      <w:r w:rsidR="00E6668F" w:rsidRPr="00B938ED">
        <w:rPr>
          <w:rFonts w:ascii="Arial Narrow" w:hAnsi="Arial Narrow"/>
          <w:bCs/>
          <w:i/>
          <w:iCs/>
        </w:rPr>
        <w:t xml:space="preserve"> gates, </w:t>
      </w:r>
      <w:r w:rsidR="00E6668F" w:rsidRPr="00B938ED">
        <w:rPr>
          <w:rFonts w:ascii="Arial Narrow" w:hAnsi="Arial Narrow"/>
          <w:b/>
          <w:i/>
          <w:iCs/>
          <w:u w:val="single"/>
        </w:rPr>
        <w:t>provided the following conditions are met</w:t>
      </w:r>
      <w:r w:rsidR="00E6668F" w:rsidRPr="00B938ED">
        <w:rPr>
          <w:rFonts w:ascii="Arial Narrow" w:hAnsi="Arial Narrow"/>
          <w:bCs/>
          <w:i/>
          <w:iCs/>
        </w:rPr>
        <w:t xml:space="preserve">; </w:t>
      </w:r>
      <w:r w:rsidRPr="00B938ED">
        <w:rPr>
          <w:rFonts w:ascii="Arial Narrow" w:hAnsi="Arial Narrow"/>
          <w:bCs/>
          <w:i/>
          <w:iCs/>
          <w:strike/>
        </w:rPr>
        <w:t>and</w:t>
      </w:r>
    </w:p>
    <w:p w14:paraId="6D5AB579" w14:textId="77777777" w:rsidR="00E6668F" w:rsidRPr="00B938ED" w:rsidRDefault="00E6668F" w:rsidP="00970E80">
      <w:pPr>
        <w:numPr>
          <w:ilvl w:val="0"/>
          <w:numId w:val="18"/>
        </w:numPr>
        <w:spacing w:after="120"/>
        <w:ind w:hanging="357"/>
        <w:contextualSpacing/>
        <w:rPr>
          <w:rFonts w:ascii="Arial Narrow" w:hAnsi="Arial Narrow"/>
          <w:bCs/>
          <w:i/>
          <w:iCs/>
        </w:rPr>
      </w:pPr>
      <w:r w:rsidRPr="00B938ED">
        <w:rPr>
          <w:rFonts w:ascii="Arial Narrow" w:hAnsi="Arial Narrow"/>
          <w:bCs/>
          <w:i/>
          <w:iCs/>
        </w:rPr>
        <w:t>no dangerous article or package containing dangerous goods may protrude above the sides or gates by more than 30% of the height of the article or package; and</w:t>
      </w:r>
    </w:p>
    <w:p w14:paraId="4BF0DE37" w14:textId="77777777" w:rsidR="00E6668F" w:rsidRPr="00B938ED" w:rsidRDefault="00E6668F" w:rsidP="00970E80">
      <w:pPr>
        <w:numPr>
          <w:ilvl w:val="0"/>
          <w:numId w:val="18"/>
        </w:numPr>
        <w:spacing w:after="120"/>
        <w:ind w:hanging="357"/>
        <w:contextualSpacing/>
        <w:rPr>
          <w:rFonts w:ascii="Arial Narrow" w:hAnsi="Arial Narrow"/>
          <w:bCs/>
          <w:i/>
          <w:iCs/>
        </w:rPr>
      </w:pPr>
      <w:r w:rsidRPr="00B938ED">
        <w:rPr>
          <w:rFonts w:ascii="Arial Narrow" w:hAnsi="Arial Narrow"/>
          <w:bCs/>
          <w:i/>
          <w:iCs/>
        </w:rPr>
        <w:t xml:space="preserve">no parts of an article or package may protrude horizontally beyond the sides or gates; </w:t>
      </w:r>
      <w:r w:rsidRPr="00B938ED">
        <w:rPr>
          <w:rFonts w:ascii="Arial Narrow" w:hAnsi="Arial Narrow"/>
          <w:b/>
          <w:i/>
          <w:iCs/>
          <w:u w:val="single"/>
        </w:rPr>
        <w:t>and</w:t>
      </w:r>
    </w:p>
    <w:p w14:paraId="7289B62D" w14:textId="77777777" w:rsidR="00E6668F" w:rsidRPr="00B938ED" w:rsidRDefault="00E6668F" w:rsidP="00970E80">
      <w:pPr>
        <w:numPr>
          <w:ilvl w:val="0"/>
          <w:numId w:val="18"/>
        </w:numPr>
        <w:spacing w:after="120"/>
        <w:ind w:hanging="357"/>
        <w:contextualSpacing/>
        <w:rPr>
          <w:rFonts w:ascii="Arial Narrow" w:hAnsi="Arial Narrow"/>
          <w:b/>
          <w:i/>
          <w:iCs/>
          <w:u w:val="single"/>
        </w:rPr>
      </w:pPr>
      <w:r w:rsidRPr="00B938ED">
        <w:rPr>
          <w:rFonts w:ascii="Arial Narrow" w:hAnsi="Arial Narrow"/>
          <w:b/>
          <w:i/>
          <w:iCs/>
          <w:u w:val="single"/>
        </w:rPr>
        <w:t>the dangerous goods are stowed and restrained to ensure the rated capacity of the gates is not exceeded.</w:t>
      </w:r>
    </w:p>
    <w:p w14:paraId="281EC027" w14:textId="77777777" w:rsidR="00E6668F" w:rsidRPr="00B938ED" w:rsidRDefault="00E6668F" w:rsidP="00E6668F">
      <w:pPr>
        <w:numPr>
          <w:ilvl w:val="0"/>
          <w:numId w:val="19"/>
        </w:numPr>
        <w:spacing w:after="120"/>
        <w:rPr>
          <w:rFonts w:ascii="Arial Narrow" w:hAnsi="Arial Narrow"/>
          <w:b/>
          <w:i/>
          <w:iCs/>
          <w:u w:val="single"/>
        </w:rPr>
      </w:pPr>
      <w:r w:rsidRPr="00B938ED">
        <w:rPr>
          <w:rFonts w:ascii="Arial Narrow" w:hAnsi="Arial Narrow"/>
          <w:b/>
          <w:i/>
          <w:iCs/>
          <w:u w:val="single"/>
        </w:rPr>
        <w:t>In accordance with a Certified Load Restraint Curtain System</w:t>
      </w:r>
    </w:p>
    <w:p w14:paraId="54E5B435" w14:textId="77777777" w:rsidR="00C22D62" w:rsidRPr="005D4025" w:rsidRDefault="00C22D62" w:rsidP="00C22D62">
      <w:pPr>
        <w:rPr>
          <w:rFonts w:ascii="Arial Narrow" w:hAnsi="Arial Narrow"/>
          <w:b/>
        </w:rPr>
      </w:pPr>
    </w:p>
    <w:p w14:paraId="2930EECC" w14:textId="4865E795" w:rsidR="006B435F" w:rsidRPr="004074FB" w:rsidRDefault="00F279C1" w:rsidP="004074FB">
      <w:pPr>
        <w:pBdr>
          <w:bottom w:val="single" w:sz="2" w:space="6" w:color="10CFC9"/>
        </w:pBdr>
        <w:spacing w:before="220" w:after="220" w:line="264" w:lineRule="auto"/>
        <w:rPr>
          <w:rFonts w:ascii="Arial Narrow" w:eastAsia="Cambria" w:hAnsi="Arial Narrow" w:cs="Times New Roman"/>
          <w:b/>
        </w:rPr>
      </w:pPr>
      <w:r w:rsidRPr="004074FB">
        <w:rPr>
          <w:rFonts w:ascii="Arial Narrow" w:eastAsia="Cambria" w:hAnsi="Arial Narrow" w:cs="Times New Roman"/>
          <w:b/>
        </w:rPr>
        <w:t xml:space="preserve">PART 11 – </w:t>
      </w:r>
      <w:r w:rsidR="007C3C02" w:rsidRPr="004074FB">
        <w:rPr>
          <w:rFonts w:ascii="Arial Narrow" w:eastAsia="Cambria" w:hAnsi="Arial Narrow" w:cs="Times New Roman"/>
          <w:b/>
        </w:rPr>
        <w:t>EMERGENCY INFORMATION</w:t>
      </w:r>
      <w:r w:rsidRPr="004074FB">
        <w:rPr>
          <w:rFonts w:ascii="Arial Narrow" w:eastAsia="Cambria" w:hAnsi="Arial Narrow" w:cs="Times New Roman"/>
          <w:b/>
        </w:rPr>
        <w:t xml:space="preserve"> </w:t>
      </w:r>
    </w:p>
    <w:p w14:paraId="704E064D" w14:textId="77777777" w:rsidR="001445BA" w:rsidRPr="001445BA" w:rsidRDefault="001445BA" w:rsidP="009B3CFA">
      <w:pPr>
        <w:rPr>
          <w:rFonts w:ascii="Arial Narrow" w:hAnsi="Arial Narrow"/>
          <w:b/>
          <w:bCs/>
        </w:rPr>
      </w:pPr>
      <w:r w:rsidRPr="001445BA">
        <w:rPr>
          <w:rFonts w:ascii="Arial Narrow" w:hAnsi="Arial Narrow"/>
          <w:b/>
          <w:bCs/>
        </w:rPr>
        <w:t>Problem</w:t>
      </w:r>
    </w:p>
    <w:p w14:paraId="474C2DC6" w14:textId="2F621DEC" w:rsidR="003B218E" w:rsidRPr="003B218E" w:rsidRDefault="003B218E" w:rsidP="003B218E">
      <w:pPr>
        <w:rPr>
          <w:rFonts w:ascii="Arial Narrow" w:hAnsi="Arial Narrow"/>
          <w:bCs/>
        </w:rPr>
      </w:pPr>
      <w:r>
        <w:rPr>
          <w:rFonts w:ascii="Arial Narrow" w:hAnsi="Arial Narrow"/>
        </w:rPr>
        <w:t xml:space="preserve">Chapter 11.2 of the ADG Code requires ‘Emergency information;’ to be carried on any vehicle transporting a placard load of dangerous goods.  </w:t>
      </w:r>
      <w:r w:rsidRPr="003B218E">
        <w:rPr>
          <w:rFonts w:ascii="Arial Narrow" w:hAnsi="Arial Narrow"/>
          <w:bCs/>
        </w:rPr>
        <w:t xml:space="preserve">The ADG Code currently defines Emergency Information as the </w:t>
      </w:r>
      <w:r w:rsidRPr="003B218E">
        <w:rPr>
          <w:rFonts w:ascii="Arial Narrow" w:hAnsi="Arial Narrow"/>
          <w:bCs/>
          <w:i/>
          <w:iCs/>
        </w:rPr>
        <w:t>Dangerous Goods - Initial Emergency Response Guide (HB:76), published by Standards Australia</w:t>
      </w:r>
      <w:r w:rsidRPr="003B218E">
        <w:rPr>
          <w:rFonts w:ascii="Arial Narrow" w:hAnsi="Arial Narrow"/>
          <w:bCs/>
        </w:rPr>
        <w:t>.  The most recent version of HB:76 is 2010, making it very outdated and misaligned to current emergency procedures.</w:t>
      </w:r>
    </w:p>
    <w:p w14:paraId="0764449E" w14:textId="77777777" w:rsidR="003B218E" w:rsidRPr="003B218E" w:rsidRDefault="003B218E" w:rsidP="003B218E">
      <w:pPr>
        <w:rPr>
          <w:rFonts w:ascii="Arial Narrow" w:hAnsi="Arial Narrow"/>
        </w:rPr>
      </w:pPr>
      <w:r w:rsidRPr="003B218E">
        <w:rPr>
          <w:rFonts w:ascii="Arial Narrow" w:hAnsi="Arial Narrow"/>
        </w:rPr>
        <w:t xml:space="preserve">In 2019, the Competent Authorities Panel (CAP) approved the Australian Emergency Response Guide Book (AERG2018) for use as emergency information satisfying the requirements of Chapter 11.2 of the Australian Code for the Transport of Dangerous Goods by Road and Rail (ADG Code).  </w:t>
      </w:r>
    </w:p>
    <w:p w14:paraId="2CA91147" w14:textId="77777777" w:rsidR="003B218E" w:rsidRPr="003B218E" w:rsidRDefault="003B218E" w:rsidP="003B218E">
      <w:pPr>
        <w:rPr>
          <w:rFonts w:ascii="Arial Narrow" w:hAnsi="Arial Narrow"/>
        </w:rPr>
      </w:pPr>
      <w:r w:rsidRPr="003B218E">
        <w:rPr>
          <w:rFonts w:ascii="Arial Narrow" w:hAnsi="Arial Narrow"/>
        </w:rPr>
        <w:t>AERG2018 was substantially based on the CANUTEC 2016 Emergency Response Guidebook developed jointly  by Transport Canada (TC), the U.S. Department of Transport (DOT), the Secretariat of Transport and Communications of Mexico (SCT) and with the collaboration of CIQUIME (Centro de Infomaciòn Quìmica para Emergencias) of Argentina.  The life of the CAP Approval for the use of AERG2018 was tied to the life of CANUTEC2016</w:t>
      </w:r>
    </w:p>
    <w:p w14:paraId="6D08AD41" w14:textId="77777777" w:rsidR="003B218E" w:rsidRPr="003B218E" w:rsidRDefault="003B218E" w:rsidP="003B218E">
      <w:pPr>
        <w:rPr>
          <w:rFonts w:ascii="Arial Narrow" w:hAnsi="Arial Narrow"/>
        </w:rPr>
      </w:pPr>
      <w:r w:rsidRPr="003B218E">
        <w:rPr>
          <w:rFonts w:ascii="Arial Narrow" w:hAnsi="Arial Narrow"/>
        </w:rPr>
        <w:t>Since AERG2018 was first approved and published, CAUNTEC have published updated 2020 guidebook. To ensure the AERG remains up to date, a process has been established to ensure the AERG is updated each time CANUTEC is updated.  Use of the AERG has also been extended to New Zealand.  This has been reflected in the name of AERG being updated to the Australian and New Zealand Emergency Response Guide Book (ANZ-ERG).  ANZ-ERG2021 (aligned to CANUTEC2020) is expected to be approved and publicly available mid 2021</w:t>
      </w:r>
    </w:p>
    <w:p w14:paraId="6B9EF7BB" w14:textId="7A8E9B33" w:rsidR="003B218E" w:rsidRPr="003B218E" w:rsidRDefault="003B218E" w:rsidP="003B218E">
      <w:pPr>
        <w:rPr>
          <w:rFonts w:ascii="Arial Narrow" w:hAnsi="Arial Narrow"/>
          <w:bCs/>
        </w:rPr>
      </w:pPr>
      <w:r w:rsidRPr="003B218E">
        <w:rPr>
          <w:rFonts w:ascii="Arial Narrow" w:hAnsi="Arial Narrow"/>
          <w:bCs/>
        </w:rPr>
        <w:t xml:space="preserve">With the establishment of a process for ongoing updating of the ANZ-ERG to ensure it remains up to date, it’s use </w:t>
      </w:r>
      <w:r>
        <w:rPr>
          <w:rFonts w:ascii="Arial Narrow" w:hAnsi="Arial Narrow"/>
          <w:bCs/>
        </w:rPr>
        <w:t>should</w:t>
      </w:r>
      <w:r w:rsidRPr="003B218E">
        <w:rPr>
          <w:rFonts w:ascii="Arial Narrow" w:hAnsi="Arial Narrow"/>
          <w:bCs/>
        </w:rPr>
        <w:t xml:space="preserve"> now be embedded into the ADG Code</w:t>
      </w:r>
      <w:r>
        <w:rPr>
          <w:rFonts w:ascii="Arial Narrow" w:hAnsi="Arial Narrow"/>
          <w:bCs/>
        </w:rPr>
        <w:t>,</w:t>
      </w:r>
      <w:r w:rsidRPr="003B218E">
        <w:rPr>
          <w:rFonts w:ascii="Arial Narrow" w:hAnsi="Arial Narrow"/>
          <w:bCs/>
        </w:rPr>
        <w:t xml:space="preserve"> eliminat</w:t>
      </w:r>
      <w:r>
        <w:rPr>
          <w:rFonts w:ascii="Arial Narrow" w:hAnsi="Arial Narrow"/>
          <w:bCs/>
        </w:rPr>
        <w:t>ing</w:t>
      </w:r>
      <w:r w:rsidRPr="003B218E">
        <w:rPr>
          <w:rFonts w:ascii="Arial Narrow" w:hAnsi="Arial Narrow"/>
          <w:bCs/>
        </w:rPr>
        <w:t xml:space="preserve"> the need for obtaining a CAP Approval each time the guide book is updated.</w:t>
      </w:r>
    </w:p>
    <w:p w14:paraId="4C92B23A" w14:textId="0B402636" w:rsidR="003B218E" w:rsidRPr="003B218E" w:rsidRDefault="003B218E" w:rsidP="003B218E">
      <w:pPr>
        <w:rPr>
          <w:rFonts w:ascii="Arial Narrow" w:hAnsi="Arial Narrow"/>
          <w:bCs/>
        </w:rPr>
      </w:pPr>
      <w:r w:rsidRPr="003B218E">
        <w:rPr>
          <w:rFonts w:ascii="Arial Narrow" w:hAnsi="Arial Narrow"/>
          <w:bCs/>
        </w:rPr>
        <w:t xml:space="preserve">The ANZ-ERG is free to download and can also be purchased in hard copy from Canprint, at a cost of </w:t>
      </w:r>
      <w:r>
        <w:rPr>
          <w:rFonts w:ascii="Arial Narrow" w:hAnsi="Arial Narrow"/>
          <w:bCs/>
        </w:rPr>
        <w:t>around</w:t>
      </w:r>
      <w:r w:rsidRPr="003B218E">
        <w:rPr>
          <w:rFonts w:ascii="Arial Narrow" w:hAnsi="Arial Narrow"/>
          <w:bCs/>
        </w:rPr>
        <w:t xml:space="preserve"> $20 per copy.  This compares to an approximate cost of $110 per copy for the HB:76.  HB:76 is also tightly copy right controlled and no part is permitted to be replicated</w:t>
      </w:r>
      <w:r>
        <w:rPr>
          <w:rFonts w:ascii="Arial Narrow" w:hAnsi="Arial Narrow"/>
          <w:bCs/>
        </w:rPr>
        <w:t xml:space="preserve"> without written permission</w:t>
      </w:r>
    </w:p>
    <w:p w14:paraId="32CC2720" w14:textId="54315A87" w:rsidR="003B218E" w:rsidRPr="003B218E" w:rsidRDefault="003B218E" w:rsidP="003B218E">
      <w:pPr>
        <w:rPr>
          <w:rFonts w:ascii="Arial Narrow" w:hAnsi="Arial Narrow"/>
          <w:bCs/>
        </w:rPr>
      </w:pPr>
      <w:r w:rsidRPr="003B218E">
        <w:rPr>
          <w:rFonts w:ascii="Arial Narrow" w:hAnsi="Arial Narrow"/>
          <w:bCs/>
        </w:rPr>
        <w:lastRenderedPageBreak/>
        <w:t>It’s understood that once the definition in the ADG Code is amended to mean the ANZ-ERG and remove any reference to HB:76, that a request will be made to Standards Australia to discontinue HB:76.</w:t>
      </w:r>
    </w:p>
    <w:p w14:paraId="1E8B63D0" w14:textId="21543EE4" w:rsidR="00097E01" w:rsidRPr="00CC03D4" w:rsidRDefault="00097E01" w:rsidP="00C22D62">
      <w:pPr>
        <w:rPr>
          <w:rFonts w:ascii="Arial Narrow" w:hAnsi="Arial Narrow"/>
          <w:b/>
        </w:rPr>
      </w:pPr>
      <w:r w:rsidRPr="00CC03D4">
        <w:rPr>
          <w:rFonts w:ascii="Arial Narrow" w:hAnsi="Arial Narrow"/>
          <w:b/>
        </w:rPr>
        <w:t>Action taken</w:t>
      </w:r>
    </w:p>
    <w:p w14:paraId="37FD76E3" w14:textId="78211BE8" w:rsidR="00097E01" w:rsidRDefault="003B218E" w:rsidP="00C22D62">
      <w:pPr>
        <w:rPr>
          <w:rFonts w:ascii="Arial Narrow" w:hAnsi="Arial Narrow"/>
          <w:bCs/>
        </w:rPr>
      </w:pPr>
      <w:r>
        <w:rPr>
          <w:rFonts w:ascii="Arial Narrow" w:hAnsi="Arial Narrow"/>
          <w:bCs/>
        </w:rPr>
        <w:t xml:space="preserve">The definition of Emergency Information in the ADG Code has been amended to </w:t>
      </w:r>
      <w:r w:rsidR="00CC03D4">
        <w:rPr>
          <w:rFonts w:ascii="Arial Narrow" w:hAnsi="Arial Narrow"/>
          <w:bCs/>
        </w:rPr>
        <w:t>reflect the shift to the ANZ-ERG.  Provision has also been made to allow for the use of individual Emergency Procedure Guides (EPG). EPGs for the more common substances transported as a single load will be prepared by a CAP working party and made free to download from the NTC website.  A blank template EPG, with instructions, will also be free to download, allowing duty holders to prepare their own substance specific EPGs.</w:t>
      </w:r>
    </w:p>
    <w:p w14:paraId="7C2A9BAF" w14:textId="29389D60" w:rsidR="00097E01" w:rsidRPr="00CC03D4" w:rsidRDefault="00097E01" w:rsidP="00C22D62">
      <w:pPr>
        <w:rPr>
          <w:rFonts w:ascii="Arial Narrow" w:hAnsi="Arial Narrow"/>
          <w:b/>
        </w:rPr>
      </w:pPr>
      <w:r w:rsidRPr="00CC03D4">
        <w:rPr>
          <w:rFonts w:ascii="Arial Narrow" w:hAnsi="Arial Narrow"/>
          <w:b/>
        </w:rPr>
        <w:t>Amended provisions</w:t>
      </w:r>
    </w:p>
    <w:p w14:paraId="7BFA3CB8" w14:textId="731876D7" w:rsidR="00CC03D4" w:rsidRDefault="00CC03D4" w:rsidP="00C22D62">
      <w:pPr>
        <w:rPr>
          <w:rFonts w:ascii="Arial Narrow" w:hAnsi="Arial Narrow"/>
          <w:bCs/>
        </w:rPr>
      </w:pPr>
      <w:r>
        <w:rPr>
          <w:rFonts w:ascii="Arial Narrow" w:hAnsi="Arial Narrow"/>
          <w:bCs/>
        </w:rPr>
        <w:t>The definitions in 11.2.1 of the ADG Code are amended as follows. Deleted text shown in strikethrough, new text shown bold and underlined.</w:t>
      </w:r>
    </w:p>
    <w:p w14:paraId="1346AC4E" w14:textId="77777777" w:rsidR="00CC03D4" w:rsidRPr="00CC03D4" w:rsidRDefault="00CC03D4" w:rsidP="00CC03D4">
      <w:pPr>
        <w:keepNext/>
        <w:keepLines/>
        <w:tabs>
          <w:tab w:val="left" w:pos="1418"/>
        </w:tabs>
        <w:spacing w:before="200" w:after="0" w:line="240" w:lineRule="auto"/>
        <w:ind w:left="1418" w:hanging="1425"/>
        <w:outlineLvl w:val="1"/>
        <w:rPr>
          <w:rFonts w:ascii="Arial Narrow" w:eastAsia="Times New Roman" w:hAnsi="Arial Narrow" w:cs="Times New Roman"/>
          <w:b/>
          <w:bCs/>
          <w:i/>
          <w:iCs/>
          <w:caps/>
          <w:sz w:val="24"/>
          <w:szCs w:val="26"/>
        </w:rPr>
      </w:pPr>
      <w:bookmarkStart w:id="7" w:name="_Toc437880035"/>
      <w:bookmarkStart w:id="8" w:name="_Toc452387356"/>
      <w:bookmarkStart w:id="9" w:name="_Toc531705260"/>
      <w:bookmarkStart w:id="10" w:name="_Toc32220086"/>
      <w:bookmarkStart w:id="11" w:name="_Toc68096740"/>
      <w:r w:rsidRPr="00CC03D4">
        <w:rPr>
          <w:rFonts w:ascii="Arial Narrow" w:eastAsia="Times New Roman" w:hAnsi="Arial Narrow" w:cs="Times New Roman"/>
          <w:b/>
          <w:bCs/>
          <w:i/>
          <w:iCs/>
          <w:caps/>
          <w:sz w:val="24"/>
          <w:szCs w:val="26"/>
        </w:rPr>
        <w:t>11.2.1</w:t>
      </w:r>
      <w:r w:rsidRPr="00CC03D4">
        <w:rPr>
          <w:rFonts w:ascii="Arial Narrow" w:eastAsia="Times New Roman" w:hAnsi="Arial Narrow" w:cs="Times New Roman"/>
          <w:b/>
          <w:bCs/>
          <w:i/>
          <w:iCs/>
          <w:caps/>
          <w:sz w:val="24"/>
          <w:szCs w:val="26"/>
        </w:rPr>
        <w:tab/>
        <w:t>DEFINITIONS</w:t>
      </w:r>
      <w:bookmarkEnd w:id="7"/>
      <w:bookmarkEnd w:id="8"/>
      <w:bookmarkEnd w:id="9"/>
      <w:bookmarkEnd w:id="10"/>
      <w:bookmarkEnd w:id="11"/>
      <w:r w:rsidRPr="00CC03D4">
        <w:rPr>
          <w:rFonts w:ascii="Arial Narrow" w:eastAsia="Times New Roman" w:hAnsi="Arial Narrow" w:cs="Times New Roman"/>
          <w:b/>
          <w:bCs/>
          <w:i/>
          <w:iCs/>
          <w:caps/>
          <w:sz w:val="24"/>
          <w:szCs w:val="26"/>
        </w:rPr>
        <w:t xml:space="preserve">    </w:t>
      </w:r>
      <w:r w:rsidRPr="00CC03D4">
        <w:rPr>
          <w:rFonts w:ascii="Arial Narrow" w:eastAsia="Times New Roman" w:hAnsi="Arial Narrow" w:cs="Times New Roman"/>
          <w:b/>
          <w:bCs/>
          <w:i/>
          <w:iCs/>
          <w:caps/>
          <w:sz w:val="24"/>
          <w:szCs w:val="26"/>
        </w:rPr>
        <w:fldChar w:fldCharType="begin"/>
      </w:r>
      <w:r w:rsidRPr="00CC03D4">
        <w:rPr>
          <w:rFonts w:ascii="Arial Narrow" w:eastAsia="Times New Roman" w:hAnsi="Arial Narrow" w:cs="Times New Roman"/>
          <w:b/>
          <w:bCs/>
          <w:i/>
          <w:iCs/>
          <w:caps/>
          <w:sz w:val="24"/>
          <w:szCs w:val="26"/>
        </w:rPr>
        <w:instrText xml:space="preserve"> XE "definitions" </w:instrText>
      </w:r>
      <w:r w:rsidRPr="00CC03D4">
        <w:rPr>
          <w:rFonts w:ascii="Arial Narrow" w:eastAsia="Times New Roman" w:hAnsi="Arial Narrow" w:cs="Times New Roman"/>
          <w:b/>
          <w:bCs/>
          <w:i/>
          <w:iCs/>
          <w:caps/>
          <w:sz w:val="24"/>
          <w:szCs w:val="26"/>
        </w:rPr>
        <w:fldChar w:fldCharType="end"/>
      </w:r>
      <w:r w:rsidRPr="00CC03D4">
        <w:rPr>
          <w:rFonts w:ascii="Arial Narrow" w:eastAsia="Times New Roman" w:hAnsi="Arial Narrow" w:cs="Times New Roman"/>
          <w:b/>
          <w:bCs/>
          <w:i/>
          <w:iCs/>
          <w:caps/>
          <w:sz w:val="24"/>
          <w:szCs w:val="26"/>
        </w:rPr>
        <w:t xml:space="preserve"> </w:t>
      </w:r>
    </w:p>
    <w:p w14:paraId="194CDF4A" w14:textId="77777777" w:rsidR="00CC03D4" w:rsidRPr="00CC03D4" w:rsidRDefault="00CC03D4" w:rsidP="00CC03D4">
      <w:pPr>
        <w:tabs>
          <w:tab w:val="left" w:pos="2268"/>
          <w:tab w:val="left" w:pos="2835"/>
        </w:tabs>
        <w:spacing w:before="120" w:after="0" w:line="240" w:lineRule="auto"/>
        <w:ind w:left="1418"/>
        <w:jc w:val="both"/>
        <w:rPr>
          <w:rFonts w:ascii="Arial Narrow" w:eastAsia="Times New Roman" w:hAnsi="Arial Narrow" w:cs="Arial"/>
          <w:i/>
          <w:iCs/>
          <w:szCs w:val="20"/>
        </w:rPr>
      </w:pPr>
      <w:r w:rsidRPr="00CC03D4">
        <w:rPr>
          <w:rFonts w:ascii="Arial Narrow" w:eastAsia="Times New Roman" w:hAnsi="Arial Narrow" w:cs="Arial"/>
          <w:i/>
          <w:iCs/>
          <w:szCs w:val="20"/>
        </w:rPr>
        <w:t>In this Chapter:</w:t>
      </w:r>
    </w:p>
    <w:p w14:paraId="351EE124" w14:textId="77777777" w:rsidR="00CC03D4" w:rsidRPr="00CC03D4" w:rsidRDefault="00CC03D4" w:rsidP="00CC03D4">
      <w:pPr>
        <w:tabs>
          <w:tab w:val="left" w:pos="2268"/>
          <w:tab w:val="left" w:pos="2835"/>
        </w:tabs>
        <w:spacing w:before="120" w:after="0" w:line="240" w:lineRule="auto"/>
        <w:ind w:left="1418"/>
        <w:jc w:val="both"/>
        <w:rPr>
          <w:rFonts w:ascii="Arial Narrow" w:eastAsia="Times New Roman" w:hAnsi="Arial Narrow" w:cs="Arial"/>
          <w:i/>
          <w:iCs/>
          <w:szCs w:val="20"/>
        </w:rPr>
      </w:pPr>
      <w:r w:rsidRPr="00CC03D4">
        <w:rPr>
          <w:rFonts w:ascii="Arial Narrow" w:eastAsia="Times New Roman" w:hAnsi="Arial Narrow" w:cs="Arial"/>
          <w:b/>
          <w:i/>
          <w:iCs/>
          <w:szCs w:val="20"/>
        </w:rPr>
        <w:t>Emergency information</w:t>
      </w:r>
      <w:r w:rsidRPr="00CC03D4">
        <w:rPr>
          <w:rFonts w:ascii="Arial Narrow" w:eastAsia="Times New Roman" w:hAnsi="Arial Narrow" w:cs="Arial"/>
          <w:i/>
          <w:iCs/>
          <w:szCs w:val="20"/>
        </w:rPr>
        <w:t>, in relation to dangerous goods transported on a vehicle, means:</w:t>
      </w:r>
    </w:p>
    <w:p w14:paraId="152ABEAF" w14:textId="27C4F1C7" w:rsidR="002C4F34" w:rsidRPr="002456B6" w:rsidRDefault="00CC03D4" w:rsidP="002C4F34">
      <w:pPr>
        <w:spacing w:before="60" w:after="60" w:line="240" w:lineRule="auto"/>
        <w:ind w:left="1843" w:hanging="357"/>
        <w:rPr>
          <w:rFonts w:ascii="Arial Narrow" w:eastAsia="Times New Roman" w:hAnsi="Arial Narrow" w:cs="Arial"/>
          <w:i/>
          <w:iCs/>
          <w:szCs w:val="20"/>
        </w:rPr>
        <w:sectPr w:rsidR="002C4F34" w:rsidRPr="002456B6" w:rsidSect="002C4F34">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1906" w:h="16838" w:code="9"/>
          <w:pgMar w:top="1440" w:right="1276" w:bottom="1440" w:left="1440" w:header="708" w:footer="708" w:gutter="0"/>
          <w:cols w:space="708"/>
          <w:docGrid w:linePitch="360"/>
        </w:sectPr>
      </w:pPr>
      <w:r w:rsidRPr="00CC03D4">
        <w:rPr>
          <w:rFonts w:ascii="Arial Narrow" w:eastAsia="Times New Roman" w:hAnsi="Arial Narrow" w:cs="Arial"/>
          <w:i/>
          <w:iCs/>
          <w:szCs w:val="20"/>
        </w:rPr>
        <w:t>(a)</w:t>
      </w:r>
      <w:r w:rsidRPr="00CC03D4">
        <w:rPr>
          <w:rFonts w:ascii="Arial Narrow" w:eastAsia="Times New Roman" w:hAnsi="Arial Narrow" w:cs="Arial"/>
          <w:i/>
          <w:iCs/>
          <w:szCs w:val="20"/>
        </w:rPr>
        <w:tab/>
      </w:r>
      <w:r w:rsidRPr="00CC03D4">
        <w:rPr>
          <w:rFonts w:ascii="Arial Narrow" w:eastAsia="Times New Roman" w:hAnsi="Arial Narrow" w:cs="Arial"/>
          <w:i/>
          <w:iCs/>
          <w:strike/>
          <w:szCs w:val="20"/>
        </w:rPr>
        <w:t>the Dangerous Goods – Initial Emergency Response Guide</w:t>
      </w:r>
      <w:r w:rsidRPr="00CC03D4">
        <w:rPr>
          <w:rFonts w:ascii="Arial Narrow" w:eastAsia="Times New Roman" w:hAnsi="Arial Narrow" w:cs="Arial"/>
          <w:i/>
          <w:iCs/>
          <w:szCs w:val="20"/>
        </w:rPr>
        <w:t xml:space="preserve"> </w:t>
      </w:r>
      <w:r w:rsidRPr="00CC03D4">
        <w:rPr>
          <w:rFonts w:ascii="Arial Narrow" w:eastAsia="Times New Roman" w:hAnsi="Arial Narrow" w:cs="Arial"/>
          <w:b/>
          <w:bCs/>
          <w:i/>
          <w:iCs/>
          <w:szCs w:val="20"/>
          <w:u w:val="single"/>
        </w:rPr>
        <w:t>the Australian &amp; New Zealand Emergency Response Guidebook (ANZ-ERG), as current at the time this edition of the ADG Code comes into force or a subsequent published version</w:t>
      </w:r>
      <w:r w:rsidRPr="00CC03D4">
        <w:rPr>
          <w:rFonts w:ascii="Arial Narrow" w:eastAsia="Times New Roman" w:hAnsi="Arial Narrow" w:cs="Times New Roman"/>
          <w:i/>
          <w:iCs/>
          <w:szCs w:val="20"/>
        </w:rPr>
        <w:footnoteReference w:id="1"/>
      </w:r>
      <w:r w:rsidR="002C4F34" w:rsidRPr="002456B6">
        <w:rPr>
          <w:rFonts w:ascii="Arial Narrow" w:eastAsia="Times New Roman" w:hAnsi="Arial Narrow" w:cs="Arial"/>
          <w:b/>
          <w:bCs/>
          <w:i/>
          <w:iCs/>
          <w:szCs w:val="20"/>
          <w:u w:val="single"/>
        </w:rPr>
        <w:t>;</w:t>
      </w:r>
      <w:r w:rsidR="002C4F34" w:rsidRPr="002456B6">
        <w:rPr>
          <w:rFonts w:ascii="Arial Narrow" w:eastAsia="Times New Roman" w:hAnsi="Arial Narrow" w:cs="Arial"/>
          <w:i/>
          <w:iCs/>
          <w:strike/>
          <w:szCs w:val="20"/>
        </w:rPr>
        <w:t xml:space="preserve"> or</w:t>
      </w:r>
    </w:p>
    <w:p w14:paraId="04E1E93F" w14:textId="77777777" w:rsidR="00CC03D4" w:rsidRPr="00CC03D4" w:rsidRDefault="00CC03D4" w:rsidP="002C4F34">
      <w:pPr>
        <w:spacing w:before="60" w:after="60" w:line="240" w:lineRule="auto"/>
        <w:ind w:left="1843" w:hanging="357"/>
        <w:rPr>
          <w:rFonts w:ascii="Arial Narrow" w:eastAsia="Times New Roman" w:hAnsi="Arial Narrow" w:cs="Arial"/>
          <w:i/>
          <w:iCs/>
          <w:szCs w:val="20"/>
        </w:rPr>
      </w:pPr>
      <w:r w:rsidRPr="00CC03D4">
        <w:rPr>
          <w:rFonts w:ascii="Arial Narrow" w:eastAsia="Times New Roman" w:hAnsi="Arial Narrow" w:cs="Arial"/>
          <w:i/>
          <w:iCs/>
          <w:szCs w:val="20"/>
        </w:rPr>
        <w:t>(b)</w:t>
      </w:r>
      <w:r w:rsidRPr="00CC03D4">
        <w:rPr>
          <w:rFonts w:ascii="Arial Narrow" w:eastAsia="Times New Roman" w:hAnsi="Arial Narrow" w:cs="Arial"/>
          <w:i/>
          <w:iCs/>
          <w:szCs w:val="20"/>
        </w:rPr>
        <w:tab/>
        <w:t xml:space="preserve">an emergency procedure guide for the dangerous goods transported on the vehicle and the emergency procedure guide in relation to vehicle fire; </w:t>
      </w:r>
      <w:r w:rsidRPr="00CC03D4">
        <w:rPr>
          <w:rFonts w:ascii="Arial Narrow" w:eastAsia="Times New Roman" w:hAnsi="Arial Narrow" w:cs="Arial"/>
          <w:i/>
          <w:iCs/>
          <w:strike/>
          <w:szCs w:val="20"/>
        </w:rPr>
        <w:t>or</w:t>
      </w:r>
    </w:p>
    <w:p w14:paraId="69BDD400" w14:textId="23690EEE" w:rsidR="00CC03D4" w:rsidRPr="00CC03D4" w:rsidRDefault="00CC03D4" w:rsidP="002C4F34">
      <w:pPr>
        <w:spacing w:before="60" w:after="60" w:line="240" w:lineRule="auto"/>
        <w:ind w:left="1843" w:hanging="357"/>
        <w:rPr>
          <w:rFonts w:ascii="Arial Narrow" w:eastAsia="Times New Roman" w:hAnsi="Arial Narrow" w:cs="Arial"/>
          <w:i/>
          <w:iCs/>
          <w:szCs w:val="20"/>
        </w:rPr>
      </w:pPr>
      <w:r w:rsidRPr="00CC03D4">
        <w:rPr>
          <w:rFonts w:ascii="Arial Narrow" w:eastAsia="Times New Roman" w:hAnsi="Arial Narrow" w:cs="Arial"/>
          <w:i/>
          <w:iCs/>
          <w:szCs w:val="20"/>
        </w:rPr>
        <w:t>(c)</w:t>
      </w:r>
      <w:r w:rsidRPr="00CC03D4">
        <w:rPr>
          <w:rFonts w:ascii="Arial Narrow" w:eastAsia="Times New Roman" w:hAnsi="Arial Narrow" w:cs="Arial"/>
          <w:i/>
          <w:iCs/>
          <w:szCs w:val="20"/>
        </w:rPr>
        <w:tab/>
        <w:t>for use on trains transporting dangerous goods, the rail operator’s Dangerous Goods Emergency Instructions for train crews which provides contact numbers for dangerous goods emergencies</w:t>
      </w:r>
      <w:r w:rsidR="002C4F34" w:rsidRPr="002456B6">
        <w:rPr>
          <w:rFonts w:ascii="Arial Narrow" w:eastAsia="Times New Roman" w:hAnsi="Arial Narrow" w:cs="Arial"/>
          <w:i/>
          <w:iCs/>
          <w:strike/>
          <w:szCs w:val="20"/>
        </w:rPr>
        <w:t>; or</w:t>
      </w:r>
    </w:p>
    <w:p w14:paraId="327AF418" w14:textId="77777777" w:rsidR="00CC03D4" w:rsidRPr="00CC03D4" w:rsidRDefault="00CC03D4" w:rsidP="002C4F34">
      <w:pPr>
        <w:spacing w:before="60" w:after="60" w:line="240" w:lineRule="auto"/>
        <w:ind w:left="1843" w:hanging="357"/>
        <w:rPr>
          <w:rFonts w:ascii="Arial Narrow" w:eastAsia="Times New Roman" w:hAnsi="Arial Narrow" w:cs="Arial"/>
          <w:i/>
          <w:iCs/>
          <w:strike/>
          <w:szCs w:val="20"/>
        </w:rPr>
      </w:pPr>
      <w:r w:rsidRPr="00CC03D4">
        <w:rPr>
          <w:rFonts w:ascii="Arial Narrow" w:eastAsia="Times New Roman" w:hAnsi="Arial Narrow" w:cs="Arial"/>
          <w:i/>
          <w:iCs/>
          <w:strike/>
          <w:szCs w:val="20"/>
        </w:rPr>
        <w:t xml:space="preserve">(d) a relevant international or foreign standard, legible and in English, that is equivalent to the information provided by Standards Australia publication HB763 . Any use of an international or foreign standard must be approved by the Competent Authority. </w:t>
      </w:r>
    </w:p>
    <w:p w14:paraId="31F30C5E" w14:textId="77777777" w:rsidR="00CC03D4" w:rsidRPr="00CC03D4" w:rsidRDefault="00CC03D4" w:rsidP="002C4F34">
      <w:pPr>
        <w:spacing w:before="60" w:after="60" w:line="240" w:lineRule="auto"/>
        <w:ind w:left="1843" w:hanging="357"/>
        <w:rPr>
          <w:rFonts w:ascii="Arial Narrow" w:eastAsia="Times New Roman" w:hAnsi="Arial Narrow" w:cs="Arial"/>
          <w:i/>
          <w:iCs/>
          <w:strike/>
          <w:szCs w:val="20"/>
        </w:rPr>
      </w:pPr>
      <w:r w:rsidRPr="00CC03D4">
        <w:rPr>
          <w:rFonts w:ascii="Arial Narrow" w:eastAsia="Times New Roman" w:hAnsi="Arial Narrow" w:cs="Arial"/>
          <w:i/>
          <w:iCs/>
          <w:strike/>
          <w:szCs w:val="20"/>
        </w:rPr>
        <w:t>Note 1: An example of a relevant international or foreign standard is the 2012 Emergency Response Guidebook (ERG2016) developed jointly by Transport Canada (TC), the U.S. Department of Transportation (DOT), the Secretariat of Transport and Communications of Mexico (SCT) and with the collaboration of CIQUIME (Centro de Informaciòn Quìmica para Emergencias) of Argentina.</w:t>
      </w:r>
    </w:p>
    <w:p w14:paraId="542E4F35" w14:textId="77777777" w:rsidR="00CC03D4" w:rsidRPr="00CC03D4" w:rsidRDefault="00CC03D4" w:rsidP="002C4F34">
      <w:pPr>
        <w:spacing w:before="60" w:after="60" w:line="240" w:lineRule="auto"/>
        <w:ind w:left="1843" w:hanging="357"/>
        <w:rPr>
          <w:rFonts w:ascii="Arial Narrow" w:eastAsia="Times New Roman" w:hAnsi="Arial Narrow" w:cs="Arial"/>
          <w:i/>
          <w:iCs/>
          <w:strike/>
          <w:szCs w:val="20"/>
        </w:rPr>
      </w:pPr>
      <w:r w:rsidRPr="00CC03D4">
        <w:rPr>
          <w:rFonts w:ascii="Arial Narrow" w:eastAsia="Times New Roman" w:hAnsi="Arial Narrow" w:cs="Arial"/>
          <w:i/>
          <w:iCs/>
          <w:strike/>
          <w:szCs w:val="20"/>
        </w:rPr>
        <w:t>Note 2: Such international or foreign standards that are acceptable must be supplemented by correct Australian emergency contact information.</w:t>
      </w:r>
    </w:p>
    <w:p w14:paraId="0FA19506" w14:textId="77777777" w:rsidR="00CC03D4" w:rsidRPr="00CC03D4" w:rsidRDefault="00CC03D4" w:rsidP="00CC03D4">
      <w:pPr>
        <w:tabs>
          <w:tab w:val="left" w:pos="2268"/>
          <w:tab w:val="left" w:pos="2835"/>
        </w:tabs>
        <w:spacing w:before="120" w:after="0" w:line="240" w:lineRule="auto"/>
        <w:ind w:left="1418"/>
        <w:jc w:val="both"/>
        <w:rPr>
          <w:rFonts w:ascii="Arial Narrow" w:eastAsia="Times New Roman" w:hAnsi="Arial Narrow" w:cs="Arial"/>
          <w:i/>
          <w:iCs/>
          <w:szCs w:val="20"/>
        </w:rPr>
      </w:pPr>
      <w:r w:rsidRPr="00CC03D4">
        <w:rPr>
          <w:rFonts w:ascii="Arial Narrow" w:eastAsia="Times New Roman" w:hAnsi="Arial Narrow" w:cs="Arial"/>
          <w:b/>
          <w:i/>
          <w:iCs/>
          <w:szCs w:val="20"/>
        </w:rPr>
        <w:t>Emergency procedure guide</w:t>
      </w:r>
      <w:r w:rsidRPr="00CC03D4">
        <w:rPr>
          <w:rFonts w:ascii="Arial Narrow" w:eastAsia="Times New Roman" w:hAnsi="Arial Narrow" w:cs="Arial"/>
          <w:i/>
          <w:iCs/>
          <w:szCs w:val="20"/>
        </w:rPr>
        <w:t>, in relation to particular dangerous goods, is a guide outlining procedures to be taken in the event of an emergency involving the goods which is either:</w:t>
      </w:r>
    </w:p>
    <w:p w14:paraId="44DEC8D1" w14:textId="77777777" w:rsidR="00CC03D4" w:rsidRPr="00CC03D4" w:rsidRDefault="00CC03D4" w:rsidP="00CC03D4">
      <w:pPr>
        <w:spacing w:before="60" w:after="60" w:line="240" w:lineRule="auto"/>
        <w:ind w:left="2127" w:hanging="426"/>
        <w:jc w:val="both"/>
        <w:rPr>
          <w:rFonts w:ascii="Arial Narrow" w:eastAsia="Times New Roman" w:hAnsi="Arial Narrow" w:cs="Arial"/>
          <w:b/>
          <w:bCs/>
          <w:i/>
          <w:iCs/>
          <w:szCs w:val="20"/>
          <w:u w:val="single"/>
        </w:rPr>
      </w:pPr>
      <w:r w:rsidRPr="00CC03D4">
        <w:rPr>
          <w:rFonts w:ascii="Arial Narrow" w:eastAsia="Times New Roman" w:hAnsi="Arial Narrow" w:cs="Arial"/>
          <w:b/>
          <w:bCs/>
          <w:i/>
          <w:iCs/>
          <w:szCs w:val="20"/>
          <w:u w:val="single"/>
        </w:rPr>
        <w:t>(a)</w:t>
      </w:r>
      <w:r w:rsidRPr="00CC03D4">
        <w:rPr>
          <w:rFonts w:ascii="Arial Narrow" w:eastAsia="Times New Roman" w:hAnsi="Arial Narrow" w:cs="Arial"/>
          <w:b/>
          <w:bCs/>
          <w:i/>
          <w:iCs/>
          <w:szCs w:val="20"/>
          <w:u w:val="single"/>
        </w:rPr>
        <w:tab/>
        <w:t>in the form, or substantially in the form, of the relevant guide from the ANZ-ERG, provided that all relevant information referred to in that guide, e.g. information in Table 1, is included</w:t>
      </w:r>
    </w:p>
    <w:p w14:paraId="31CAD843" w14:textId="77777777" w:rsidR="00CC03D4" w:rsidRPr="00CC03D4" w:rsidRDefault="00CC03D4" w:rsidP="00CC03D4">
      <w:pPr>
        <w:spacing w:before="60" w:after="60" w:line="240" w:lineRule="auto"/>
        <w:ind w:left="2127" w:hanging="426"/>
        <w:jc w:val="both"/>
        <w:rPr>
          <w:rFonts w:ascii="Arial Narrow" w:eastAsia="Times New Roman" w:hAnsi="Arial Narrow" w:cs="Arial"/>
          <w:i/>
          <w:iCs/>
          <w:szCs w:val="20"/>
        </w:rPr>
      </w:pPr>
      <w:r w:rsidRPr="00CC03D4">
        <w:rPr>
          <w:rFonts w:ascii="Arial Narrow" w:eastAsia="Times New Roman" w:hAnsi="Arial Narrow" w:cs="Arial"/>
          <w:i/>
          <w:iCs/>
          <w:szCs w:val="20"/>
        </w:rPr>
        <w:t>(b)</w:t>
      </w:r>
      <w:r w:rsidRPr="00CC03D4">
        <w:rPr>
          <w:rFonts w:ascii="Arial Narrow" w:eastAsia="Times New Roman" w:hAnsi="Arial Narrow" w:cs="Arial"/>
          <w:i/>
          <w:iCs/>
          <w:szCs w:val="20"/>
        </w:rPr>
        <w:tab/>
      </w:r>
      <w:bookmarkStart w:id="12" w:name="_Hlk73976438"/>
      <w:r w:rsidRPr="00CC03D4">
        <w:rPr>
          <w:rFonts w:ascii="Arial Narrow" w:eastAsia="Times New Roman" w:hAnsi="Arial Narrow" w:cs="Arial"/>
          <w:i/>
          <w:iCs/>
          <w:szCs w:val="20"/>
        </w:rPr>
        <w:t>in the form, or substantially in the form, of an emergency procedure guide for the goods published by Standards Australia</w:t>
      </w:r>
      <w:bookmarkEnd w:id="12"/>
      <w:r w:rsidRPr="00CC03D4">
        <w:rPr>
          <w:rFonts w:ascii="Arial Narrow" w:eastAsia="Times New Roman" w:hAnsi="Arial Narrow" w:cs="Arial"/>
          <w:i/>
          <w:iCs/>
          <w:szCs w:val="20"/>
        </w:rPr>
        <w:t>; or</w:t>
      </w:r>
    </w:p>
    <w:p w14:paraId="4DD7501D" w14:textId="77777777" w:rsidR="00CC03D4" w:rsidRPr="00CC03D4" w:rsidRDefault="00CC03D4" w:rsidP="00CC03D4">
      <w:pPr>
        <w:spacing w:before="60" w:after="60" w:line="240" w:lineRule="auto"/>
        <w:ind w:left="2127" w:hanging="426"/>
        <w:jc w:val="both"/>
        <w:rPr>
          <w:rFonts w:ascii="Arial Narrow" w:eastAsia="Times New Roman" w:hAnsi="Arial Narrow" w:cs="Arial"/>
          <w:i/>
          <w:iCs/>
          <w:szCs w:val="20"/>
        </w:rPr>
      </w:pPr>
      <w:r w:rsidRPr="00CC03D4">
        <w:rPr>
          <w:rFonts w:ascii="Arial Narrow" w:eastAsia="Times New Roman" w:hAnsi="Arial Narrow" w:cs="Arial"/>
          <w:i/>
          <w:iCs/>
          <w:szCs w:val="20"/>
        </w:rPr>
        <w:t>(c)</w:t>
      </w:r>
      <w:r w:rsidRPr="00CC03D4">
        <w:rPr>
          <w:rFonts w:ascii="Arial Narrow" w:eastAsia="Times New Roman" w:hAnsi="Arial Narrow" w:cs="Arial"/>
          <w:i/>
          <w:iCs/>
          <w:szCs w:val="20"/>
        </w:rPr>
        <w:tab/>
        <w:t>in a form approved by a Competent Authority in relation to goods of that kind.</w:t>
      </w:r>
    </w:p>
    <w:p w14:paraId="58295734" w14:textId="77777777" w:rsidR="00CC03D4" w:rsidRPr="00CC03D4" w:rsidRDefault="00CC03D4" w:rsidP="00CC03D4">
      <w:pPr>
        <w:tabs>
          <w:tab w:val="left" w:pos="2268"/>
          <w:tab w:val="left" w:pos="2835"/>
        </w:tabs>
        <w:spacing w:before="120" w:after="0" w:line="240" w:lineRule="auto"/>
        <w:ind w:left="1418"/>
        <w:jc w:val="both"/>
        <w:rPr>
          <w:rFonts w:ascii="Arial Narrow" w:eastAsia="Times New Roman" w:hAnsi="Arial Narrow" w:cs="Arial"/>
          <w:i/>
          <w:iCs/>
          <w:szCs w:val="20"/>
        </w:rPr>
      </w:pPr>
      <w:r w:rsidRPr="00CC03D4">
        <w:rPr>
          <w:rFonts w:ascii="Arial Narrow" w:eastAsia="Times New Roman" w:hAnsi="Arial Narrow" w:cs="Arial"/>
          <w:b/>
          <w:i/>
          <w:iCs/>
          <w:szCs w:val="20"/>
        </w:rPr>
        <w:lastRenderedPageBreak/>
        <w:t>Emergency procedure guide,</w:t>
      </w:r>
      <w:r w:rsidRPr="00CC03D4">
        <w:rPr>
          <w:rFonts w:ascii="Arial Narrow" w:eastAsia="Times New Roman" w:hAnsi="Arial Narrow" w:cs="Arial"/>
          <w:i/>
          <w:iCs/>
          <w:szCs w:val="20"/>
        </w:rPr>
        <w:t xml:space="preserve"> in relation to vehicle fire, means a guide outlining procedures to be taken in the event of a fire on a road vehicle which is either:</w:t>
      </w:r>
    </w:p>
    <w:p w14:paraId="45034A98" w14:textId="77777777" w:rsidR="00CC03D4" w:rsidRPr="00CC03D4" w:rsidRDefault="00CC03D4" w:rsidP="00CC03D4">
      <w:pPr>
        <w:spacing w:before="60" w:after="60" w:line="240" w:lineRule="auto"/>
        <w:ind w:left="2127" w:hanging="425"/>
        <w:jc w:val="both"/>
        <w:rPr>
          <w:rFonts w:ascii="Arial Narrow" w:eastAsia="Times New Roman" w:hAnsi="Arial Narrow" w:cs="Arial"/>
          <w:b/>
          <w:bCs/>
          <w:i/>
          <w:iCs/>
          <w:szCs w:val="20"/>
          <w:u w:val="single"/>
        </w:rPr>
      </w:pPr>
      <w:r w:rsidRPr="00CC03D4">
        <w:rPr>
          <w:rFonts w:ascii="Arial Narrow" w:eastAsia="Times New Roman" w:hAnsi="Arial Narrow" w:cs="Arial"/>
          <w:i/>
          <w:iCs/>
          <w:szCs w:val="20"/>
          <w:u w:val="single"/>
        </w:rPr>
        <w:t>(a)</w:t>
      </w:r>
      <w:r w:rsidRPr="00CC03D4">
        <w:rPr>
          <w:rFonts w:ascii="Arial Narrow" w:eastAsia="Times New Roman" w:hAnsi="Arial Narrow" w:cs="Arial"/>
          <w:i/>
          <w:iCs/>
          <w:szCs w:val="20"/>
          <w:u w:val="single"/>
        </w:rPr>
        <w:tab/>
      </w:r>
      <w:r w:rsidRPr="00CC03D4">
        <w:rPr>
          <w:rFonts w:ascii="Arial Narrow" w:eastAsia="Times New Roman" w:hAnsi="Arial Narrow" w:cs="Arial"/>
          <w:b/>
          <w:bCs/>
          <w:i/>
          <w:iCs/>
          <w:szCs w:val="20"/>
          <w:u w:val="single"/>
        </w:rPr>
        <w:t>in the form, or substantially in the form of Vehicle Fire Guide 00 in the ANZ-ERG</w:t>
      </w:r>
    </w:p>
    <w:p w14:paraId="2A5187DB" w14:textId="77777777" w:rsidR="00CC03D4" w:rsidRPr="00CC03D4" w:rsidRDefault="00CC03D4" w:rsidP="00CC03D4">
      <w:pPr>
        <w:spacing w:before="60" w:after="60" w:line="240" w:lineRule="auto"/>
        <w:ind w:left="2127" w:hanging="425"/>
        <w:jc w:val="both"/>
        <w:rPr>
          <w:rFonts w:ascii="Arial Narrow" w:eastAsia="Times New Roman" w:hAnsi="Arial Narrow" w:cs="Arial"/>
          <w:i/>
          <w:iCs/>
          <w:szCs w:val="20"/>
        </w:rPr>
      </w:pPr>
      <w:r w:rsidRPr="00CC03D4">
        <w:rPr>
          <w:rFonts w:ascii="Arial Narrow" w:eastAsia="Times New Roman" w:hAnsi="Arial Narrow" w:cs="Arial"/>
          <w:i/>
          <w:iCs/>
          <w:szCs w:val="20"/>
        </w:rPr>
        <w:t>(b)</w:t>
      </w:r>
      <w:r w:rsidRPr="00CC03D4">
        <w:rPr>
          <w:rFonts w:ascii="Arial Narrow" w:eastAsia="Times New Roman" w:hAnsi="Arial Narrow" w:cs="Arial"/>
          <w:i/>
          <w:iCs/>
          <w:szCs w:val="20"/>
        </w:rPr>
        <w:tab/>
        <w:t>in the form, or substantially in the form, of the emergency procedure guide for vehicle fire published by Standards Australia; or</w:t>
      </w:r>
    </w:p>
    <w:p w14:paraId="14D59FD9" w14:textId="31F6BA09" w:rsidR="00CC03D4" w:rsidRPr="00CC03D4" w:rsidRDefault="00CC03D4" w:rsidP="00CC03D4">
      <w:pPr>
        <w:spacing w:before="60" w:after="60" w:line="240" w:lineRule="auto"/>
        <w:ind w:left="2127" w:hanging="425"/>
        <w:jc w:val="both"/>
        <w:rPr>
          <w:rFonts w:ascii="Arial Narrow" w:eastAsia="Times New Roman" w:hAnsi="Arial Narrow" w:cs="Arial"/>
          <w:i/>
          <w:iCs/>
          <w:szCs w:val="20"/>
        </w:rPr>
      </w:pPr>
      <w:r w:rsidRPr="00CC03D4">
        <w:rPr>
          <w:rFonts w:ascii="Arial Narrow" w:eastAsia="Times New Roman" w:hAnsi="Arial Narrow" w:cs="Arial"/>
          <w:i/>
          <w:iCs/>
          <w:szCs w:val="20"/>
        </w:rPr>
        <w:t>(b)</w:t>
      </w:r>
      <w:r w:rsidRPr="00CC03D4">
        <w:rPr>
          <w:rFonts w:ascii="Arial Narrow" w:eastAsia="Times New Roman" w:hAnsi="Arial Narrow" w:cs="Arial"/>
          <w:i/>
          <w:iCs/>
          <w:szCs w:val="20"/>
        </w:rPr>
        <w:tab/>
        <w:t>in a form approved by a Competent Authority.</w:t>
      </w:r>
    </w:p>
    <w:p w14:paraId="63D407E7" w14:textId="77777777" w:rsidR="00CC03D4" w:rsidRPr="00CC03D4" w:rsidRDefault="00CC03D4" w:rsidP="00CC03D4">
      <w:pPr>
        <w:ind w:left="709"/>
        <w:rPr>
          <w:rFonts w:ascii="Arial Narrow" w:eastAsia="Calibri" w:hAnsi="Arial Narrow" w:cs="Arial"/>
          <w:bCs/>
        </w:rPr>
      </w:pPr>
    </w:p>
    <w:p w14:paraId="61980DBF" w14:textId="77777777" w:rsidR="00097E01" w:rsidRDefault="00097E01" w:rsidP="00C22D62">
      <w:pPr>
        <w:rPr>
          <w:rFonts w:ascii="Arial Narrow" w:hAnsi="Arial Narrow"/>
          <w:bCs/>
        </w:rPr>
      </w:pPr>
    </w:p>
    <w:p w14:paraId="5831B764" w14:textId="77777777" w:rsidR="001C596A" w:rsidRPr="0023187D" w:rsidRDefault="001C596A" w:rsidP="00C22D62">
      <w:pPr>
        <w:rPr>
          <w:rFonts w:ascii="Arial Narrow" w:hAnsi="Arial Narrow"/>
          <w:bCs/>
        </w:rPr>
      </w:pPr>
    </w:p>
    <w:p w14:paraId="21A4679C" w14:textId="05679F8C" w:rsidR="00063EDF" w:rsidRPr="00D80A14" w:rsidRDefault="00063EDF" w:rsidP="00B370B5"/>
    <w:sectPr w:rsidR="00063EDF" w:rsidRPr="00D80A14" w:rsidSect="002C4F34">
      <w:type w:val="continuous"/>
      <w:pgSz w:w="11906" w:h="16838" w:code="9"/>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F5703" w14:textId="77777777" w:rsidR="000A339F" w:rsidRDefault="000A339F" w:rsidP="00946E4B">
      <w:pPr>
        <w:spacing w:after="0" w:line="240" w:lineRule="auto"/>
      </w:pPr>
      <w:r>
        <w:separator/>
      </w:r>
    </w:p>
  </w:endnote>
  <w:endnote w:type="continuationSeparator" w:id="0">
    <w:p w14:paraId="6EEC470F" w14:textId="77777777" w:rsidR="000A339F" w:rsidRDefault="000A339F" w:rsidP="0094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262E4" w14:textId="77777777" w:rsidR="004074FB" w:rsidRDefault="00407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CA0CB" w14:textId="77777777" w:rsidR="004074FB" w:rsidRDefault="00407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93F8" w14:textId="77777777" w:rsidR="004074FB" w:rsidRDefault="00407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5A804" w14:textId="77777777" w:rsidR="000A339F" w:rsidRDefault="000A339F" w:rsidP="00946E4B">
      <w:pPr>
        <w:spacing w:after="0" w:line="240" w:lineRule="auto"/>
      </w:pPr>
      <w:r>
        <w:separator/>
      </w:r>
    </w:p>
  </w:footnote>
  <w:footnote w:type="continuationSeparator" w:id="0">
    <w:p w14:paraId="3FF77FAC" w14:textId="77777777" w:rsidR="000A339F" w:rsidRDefault="000A339F" w:rsidP="00946E4B">
      <w:pPr>
        <w:spacing w:after="0" w:line="240" w:lineRule="auto"/>
      </w:pPr>
      <w:r>
        <w:continuationSeparator/>
      </w:r>
    </w:p>
  </w:footnote>
  <w:footnote w:id="1">
    <w:p w14:paraId="2C828975" w14:textId="77777777" w:rsidR="00CC03D4" w:rsidRPr="007F35F8" w:rsidRDefault="00CC03D4" w:rsidP="00CC03D4">
      <w:pPr>
        <w:pStyle w:val="FootnoteText"/>
        <w:rPr>
          <w:i/>
          <w:iCs/>
          <w:sz w:val="18"/>
          <w:szCs w:val="18"/>
        </w:rPr>
      </w:pPr>
      <w:r w:rsidRPr="007F35F8">
        <w:rPr>
          <w:rStyle w:val="FootnoteReference"/>
          <w:i/>
          <w:iCs/>
          <w:sz w:val="18"/>
          <w:szCs w:val="18"/>
        </w:rPr>
        <w:footnoteRef/>
      </w:r>
      <w:r w:rsidRPr="007F35F8">
        <w:rPr>
          <w:i/>
          <w:iCs/>
          <w:sz w:val="18"/>
          <w:szCs w:val="18"/>
        </w:rPr>
        <w:t xml:space="preserve"> </w:t>
      </w:r>
      <w:r>
        <w:rPr>
          <w:i/>
          <w:iCs/>
          <w:sz w:val="18"/>
          <w:szCs w:val="18"/>
        </w:rPr>
        <w:t>The ANZ-ERG is published on the NTC website</w:t>
      </w:r>
      <w:r w:rsidRPr="007F35F8">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E5311" w14:textId="77777777" w:rsidR="004074FB" w:rsidRDefault="00407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bottom w:val="single" w:sz="2" w:space="0" w:color="10CFC9"/>
        <w:insideH w:val="none" w:sz="0" w:space="0" w:color="auto"/>
        <w:insideV w:val="none" w:sz="0" w:space="0" w:color="auto"/>
      </w:tblBorders>
      <w:tblLook w:val="0400" w:firstRow="0" w:lastRow="0" w:firstColumn="0" w:lastColumn="0" w:noHBand="0" w:noVBand="1"/>
    </w:tblPr>
    <w:tblGrid>
      <w:gridCol w:w="5103"/>
      <w:gridCol w:w="3967"/>
    </w:tblGrid>
    <w:tr w:rsidR="00946E4B" w:rsidRPr="00946E4B" w14:paraId="11785A84" w14:textId="77777777" w:rsidTr="00946E4B">
      <w:trPr>
        <w:trHeight w:val="1310"/>
      </w:trPr>
      <w:tc>
        <w:tcPr>
          <w:tcW w:w="5103" w:type="dxa"/>
          <w:tcMar>
            <w:left w:w="0" w:type="dxa"/>
            <w:bottom w:w="120" w:type="dxa"/>
            <w:right w:w="0" w:type="dxa"/>
          </w:tcMar>
          <w:vAlign w:val="bottom"/>
        </w:tcPr>
        <w:p w14:paraId="3253237A" w14:textId="2322F3A0" w:rsidR="00946E4B" w:rsidRPr="00946E4B" w:rsidRDefault="00946E4B" w:rsidP="00946E4B">
          <w:pPr>
            <w:spacing w:line="264" w:lineRule="auto"/>
            <w:rPr>
              <w:rFonts w:cs="Arial"/>
              <w:b/>
              <w:color w:val="24312A"/>
              <w:sz w:val="44"/>
              <w:szCs w:val="44"/>
            </w:rPr>
          </w:pPr>
        </w:p>
      </w:tc>
      <w:tc>
        <w:tcPr>
          <w:tcW w:w="3967" w:type="dxa"/>
          <w:tcMar>
            <w:left w:w="0" w:type="dxa"/>
            <w:bottom w:w="120" w:type="dxa"/>
            <w:right w:w="0" w:type="dxa"/>
          </w:tcMar>
          <w:vAlign w:val="bottom"/>
        </w:tcPr>
        <w:p w14:paraId="3A84BDF6" w14:textId="77777777" w:rsidR="00946E4B" w:rsidRPr="00946E4B" w:rsidRDefault="00946E4B" w:rsidP="00946E4B">
          <w:pPr>
            <w:spacing w:line="264" w:lineRule="auto"/>
            <w:jc w:val="right"/>
            <w:rPr>
              <w:rFonts w:cs="Arial"/>
              <w:b/>
              <w:color w:val="24312A"/>
              <w:sz w:val="44"/>
              <w:szCs w:val="44"/>
            </w:rPr>
          </w:pPr>
          <w:r w:rsidRPr="00946E4B">
            <w:rPr>
              <w:rFonts w:cs="Arial"/>
              <w:b/>
              <w:noProof/>
              <w:color w:val="24312A"/>
              <w:sz w:val="44"/>
              <w:szCs w:val="44"/>
            </w:rPr>
            <w:drawing>
              <wp:inline distT="0" distB="0" distL="0" distR="0" wp14:anchorId="51352CC1" wp14:editId="0002C7CD">
                <wp:extent cx="2311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ing note-logo.jpg"/>
                        <pic:cNvPicPr/>
                      </pic:nvPicPr>
                      <pic:blipFill>
                        <a:blip r:embed="rId1"/>
                        <a:stretch>
                          <a:fillRect/>
                        </a:stretch>
                      </pic:blipFill>
                      <pic:spPr>
                        <a:xfrm>
                          <a:off x="0" y="0"/>
                          <a:ext cx="2311400" cy="609600"/>
                        </a:xfrm>
                        <a:prstGeom prst="rect">
                          <a:avLst/>
                        </a:prstGeom>
                      </pic:spPr>
                    </pic:pic>
                  </a:graphicData>
                </a:graphic>
              </wp:inline>
            </w:drawing>
          </w:r>
        </w:p>
      </w:tc>
    </w:tr>
  </w:tbl>
  <w:sdt>
    <w:sdtPr>
      <w:id w:val="-1881086973"/>
      <w:docPartObj>
        <w:docPartGallery w:val="Watermarks"/>
        <w:docPartUnique/>
      </w:docPartObj>
    </w:sdtPr>
    <w:sdtContent>
      <w:p w14:paraId="6A44FB6F" w14:textId="660B21B1" w:rsidR="00946E4B" w:rsidRDefault="004074FB">
        <w:pPr>
          <w:pStyle w:val="Header"/>
        </w:pPr>
        <w:r>
          <w:rPr>
            <w:noProof/>
          </w:rPr>
          <w:pict w14:anchorId="49E14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F9CAA" w14:textId="77777777" w:rsidR="004074FB" w:rsidRDefault="00407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D7E"/>
    <w:multiLevelType w:val="hybridMultilevel"/>
    <w:tmpl w:val="94DE823A"/>
    <w:lvl w:ilvl="0" w:tplc="4E684BFA">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2453F3"/>
    <w:multiLevelType w:val="hybridMultilevel"/>
    <w:tmpl w:val="BAE09AD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0F9F0576"/>
    <w:multiLevelType w:val="hybridMultilevel"/>
    <w:tmpl w:val="4120C8F6"/>
    <w:lvl w:ilvl="0" w:tplc="307685E4">
      <w:start w:val="1"/>
      <w:numFmt w:val="lowerLetter"/>
      <w:lvlText w:val="(%1)"/>
      <w:lvlJc w:val="left"/>
      <w:pPr>
        <w:ind w:left="2487" w:hanging="360"/>
      </w:pPr>
      <w:rPr>
        <w:rFonts w:hint="default"/>
      </w:rPr>
    </w:lvl>
    <w:lvl w:ilvl="1" w:tplc="0C090019">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3" w15:restartNumberingAfterBreak="0">
    <w:nsid w:val="11CC7F71"/>
    <w:multiLevelType w:val="hybridMultilevel"/>
    <w:tmpl w:val="5F8043D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42591F"/>
    <w:multiLevelType w:val="multilevel"/>
    <w:tmpl w:val="8D2C62B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5" w15:restartNumberingAfterBreak="0">
    <w:nsid w:val="283E7E7A"/>
    <w:multiLevelType w:val="multilevel"/>
    <w:tmpl w:val="B80EA02A"/>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6" w15:restartNumberingAfterBreak="0">
    <w:nsid w:val="2B7D28BE"/>
    <w:multiLevelType w:val="hybridMultilevel"/>
    <w:tmpl w:val="8ADEE6E4"/>
    <w:lvl w:ilvl="0" w:tplc="DEB8EEB8">
      <w:start w:val="1"/>
      <w:numFmt w:val="decimal"/>
      <w:lvlText w:val="(%1)"/>
      <w:lvlJc w:val="left"/>
      <w:pPr>
        <w:ind w:left="2064" w:hanging="360"/>
      </w:pPr>
      <w:rPr>
        <w:rFonts w:hint="default"/>
        <w:sz w:val="20"/>
        <w:szCs w:val="20"/>
      </w:rPr>
    </w:lvl>
    <w:lvl w:ilvl="1" w:tplc="0C090019">
      <w:start w:val="1"/>
      <w:numFmt w:val="lowerLetter"/>
      <w:lvlText w:val="%2."/>
      <w:lvlJc w:val="left"/>
      <w:pPr>
        <w:ind w:left="2784" w:hanging="360"/>
      </w:pPr>
    </w:lvl>
    <w:lvl w:ilvl="2" w:tplc="0C09001B" w:tentative="1">
      <w:start w:val="1"/>
      <w:numFmt w:val="lowerRoman"/>
      <w:lvlText w:val="%3."/>
      <w:lvlJc w:val="right"/>
      <w:pPr>
        <w:ind w:left="3504" w:hanging="180"/>
      </w:pPr>
    </w:lvl>
    <w:lvl w:ilvl="3" w:tplc="0C09000F" w:tentative="1">
      <w:start w:val="1"/>
      <w:numFmt w:val="decimal"/>
      <w:lvlText w:val="%4."/>
      <w:lvlJc w:val="left"/>
      <w:pPr>
        <w:ind w:left="4224" w:hanging="360"/>
      </w:pPr>
    </w:lvl>
    <w:lvl w:ilvl="4" w:tplc="0C090019" w:tentative="1">
      <w:start w:val="1"/>
      <w:numFmt w:val="lowerLetter"/>
      <w:lvlText w:val="%5."/>
      <w:lvlJc w:val="left"/>
      <w:pPr>
        <w:ind w:left="4944" w:hanging="360"/>
      </w:pPr>
    </w:lvl>
    <w:lvl w:ilvl="5" w:tplc="0C09001B" w:tentative="1">
      <w:start w:val="1"/>
      <w:numFmt w:val="lowerRoman"/>
      <w:lvlText w:val="%6."/>
      <w:lvlJc w:val="right"/>
      <w:pPr>
        <w:ind w:left="5664" w:hanging="180"/>
      </w:pPr>
    </w:lvl>
    <w:lvl w:ilvl="6" w:tplc="0C09000F" w:tentative="1">
      <w:start w:val="1"/>
      <w:numFmt w:val="decimal"/>
      <w:lvlText w:val="%7."/>
      <w:lvlJc w:val="left"/>
      <w:pPr>
        <w:ind w:left="6384" w:hanging="360"/>
      </w:pPr>
    </w:lvl>
    <w:lvl w:ilvl="7" w:tplc="0C090019" w:tentative="1">
      <w:start w:val="1"/>
      <w:numFmt w:val="lowerLetter"/>
      <w:lvlText w:val="%8."/>
      <w:lvlJc w:val="left"/>
      <w:pPr>
        <w:ind w:left="7104" w:hanging="360"/>
      </w:pPr>
    </w:lvl>
    <w:lvl w:ilvl="8" w:tplc="0C09001B" w:tentative="1">
      <w:start w:val="1"/>
      <w:numFmt w:val="lowerRoman"/>
      <w:lvlText w:val="%9."/>
      <w:lvlJc w:val="right"/>
      <w:pPr>
        <w:ind w:left="7824" w:hanging="180"/>
      </w:pPr>
    </w:lvl>
  </w:abstractNum>
  <w:abstractNum w:abstractNumId="7" w15:restartNumberingAfterBreak="0">
    <w:nsid w:val="2ED43400"/>
    <w:multiLevelType w:val="hybridMultilevel"/>
    <w:tmpl w:val="67E4301C"/>
    <w:lvl w:ilvl="0" w:tplc="A710C2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916F48"/>
    <w:multiLevelType w:val="hybridMultilevel"/>
    <w:tmpl w:val="E984F008"/>
    <w:lvl w:ilvl="0" w:tplc="A710C2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5D234B"/>
    <w:multiLevelType w:val="hybridMultilevel"/>
    <w:tmpl w:val="34621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443D30"/>
    <w:multiLevelType w:val="hybridMultilevel"/>
    <w:tmpl w:val="3DFA041A"/>
    <w:lvl w:ilvl="0" w:tplc="9FDE9750">
      <w:start w:val="5"/>
      <w:numFmt w:val="bullet"/>
      <w:lvlText w:val="-"/>
      <w:lvlJc w:val="left"/>
      <w:pPr>
        <w:ind w:left="360" w:hanging="360"/>
      </w:pPr>
      <w:rPr>
        <w:rFonts w:ascii="Arial Narrow" w:eastAsiaTheme="minorHAnsi" w:hAnsi="Arial Narrow"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81466B"/>
    <w:multiLevelType w:val="hybridMultilevel"/>
    <w:tmpl w:val="8DF8EA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B1F19AC"/>
    <w:multiLevelType w:val="multilevel"/>
    <w:tmpl w:val="296C63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125457F"/>
    <w:multiLevelType w:val="hybridMultilevel"/>
    <w:tmpl w:val="D2F0D7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9B40F2"/>
    <w:multiLevelType w:val="multilevel"/>
    <w:tmpl w:val="71B83C2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B90EAC"/>
    <w:multiLevelType w:val="hybridMultilevel"/>
    <w:tmpl w:val="2658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3774D3"/>
    <w:multiLevelType w:val="hybridMultilevel"/>
    <w:tmpl w:val="27DA6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4A5FE4"/>
    <w:multiLevelType w:val="hybridMultilevel"/>
    <w:tmpl w:val="D5E68392"/>
    <w:lvl w:ilvl="0" w:tplc="0C09000F">
      <w:start w:val="1"/>
      <w:numFmt w:val="decimal"/>
      <w:lvlText w:val="%1."/>
      <w:lvlJc w:val="left"/>
      <w:pPr>
        <w:ind w:left="720" w:hanging="360"/>
      </w:pPr>
    </w:lvl>
    <w:lvl w:ilvl="1" w:tplc="307685E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FB3F3C"/>
    <w:multiLevelType w:val="hybridMultilevel"/>
    <w:tmpl w:val="45E26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912EF7"/>
    <w:multiLevelType w:val="hybridMultilevel"/>
    <w:tmpl w:val="139CC5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3A86D94"/>
    <w:multiLevelType w:val="multilevel"/>
    <w:tmpl w:val="1062C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4E71BD8"/>
    <w:multiLevelType w:val="hybridMultilevel"/>
    <w:tmpl w:val="E6D4D106"/>
    <w:lvl w:ilvl="0" w:tplc="307685E4">
      <w:start w:val="1"/>
      <w:numFmt w:val="lowerLetter"/>
      <w:lvlText w:val="(%1)"/>
      <w:lvlJc w:val="left"/>
      <w:pPr>
        <w:ind w:left="2138" w:hanging="360"/>
      </w:pPr>
      <w:rPr>
        <w:rFonts w:hint="default"/>
      </w:rPr>
    </w:lvl>
    <w:lvl w:ilvl="1" w:tplc="0C090019">
      <w:start w:val="1"/>
      <w:numFmt w:val="lowerLetter"/>
      <w:lvlText w:val="%2."/>
      <w:lvlJc w:val="left"/>
      <w:pPr>
        <w:ind w:left="2858" w:hanging="360"/>
      </w:pPr>
    </w:lvl>
    <w:lvl w:ilvl="2" w:tplc="0C09001B">
      <w:start w:val="1"/>
      <w:numFmt w:val="lowerRoman"/>
      <w:lvlText w:val="%3."/>
      <w:lvlJc w:val="right"/>
      <w:pPr>
        <w:ind w:left="3578" w:hanging="180"/>
      </w:pPr>
    </w:lvl>
    <w:lvl w:ilvl="3" w:tplc="0C09000F">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15:restartNumberingAfterBreak="0">
    <w:nsid w:val="767E15FF"/>
    <w:multiLevelType w:val="multilevel"/>
    <w:tmpl w:val="0A0E2D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9"/>
  </w:num>
  <w:num w:numId="3">
    <w:abstractNumId w:val="16"/>
  </w:num>
  <w:num w:numId="4">
    <w:abstractNumId w:val="1"/>
  </w:num>
  <w:num w:numId="5">
    <w:abstractNumId w:val="10"/>
  </w:num>
  <w:num w:numId="6">
    <w:abstractNumId w:val="1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7"/>
  </w:num>
  <w:num w:numId="16">
    <w:abstractNumId w:val="21"/>
  </w:num>
  <w:num w:numId="17">
    <w:abstractNumId w:val="11"/>
  </w:num>
  <w:num w:numId="18">
    <w:abstractNumId w:val="2"/>
  </w:num>
  <w:num w:numId="19">
    <w:abstractNumId w:val="6"/>
  </w:num>
  <w:num w:numId="20">
    <w:abstractNumId w:val="13"/>
  </w:num>
  <w:num w:numId="21">
    <w:abstractNumId w:val="0"/>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2"/>
    <w:rsid w:val="000044C8"/>
    <w:rsid w:val="00007B72"/>
    <w:rsid w:val="00015209"/>
    <w:rsid w:val="0001735A"/>
    <w:rsid w:val="000334A0"/>
    <w:rsid w:val="00041632"/>
    <w:rsid w:val="0005203F"/>
    <w:rsid w:val="00063EDF"/>
    <w:rsid w:val="00065BE2"/>
    <w:rsid w:val="00097E01"/>
    <w:rsid w:val="000A339F"/>
    <w:rsid w:val="000A46A1"/>
    <w:rsid w:val="000C7BF2"/>
    <w:rsid w:val="000D0C2F"/>
    <w:rsid w:val="000D68E9"/>
    <w:rsid w:val="000E056F"/>
    <w:rsid w:val="000F0A0B"/>
    <w:rsid w:val="00101EAE"/>
    <w:rsid w:val="00110F0E"/>
    <w:rsid w:val="001377B5"/>
    <w:rsid w:val="001445BA"/>
    <w:rsid w:val="00162D10"/>
    <w:rsid w:val="001723F5"/>
    <w:rsid w:val="001758F9"/>
    <w:rsid w:val="00195F1B"/>
    <w:rsid w:val="001B7AD9"/>
    <w:rsid w:val="001C596A"/>
    <w:rsid w:val="001D1A7D"/>
    <w:rsid w:val="001E7F46"/>
    <w:rsid w:val="001F0E0F"/>
    <w:rsid w:val="001F1840"/>
    <w:rsid w:val="00213CAD"/>
    <w:rsid w:val="00220078"/>
    <w:rsid w:val="0023187D"/>
    <w:rsid w:val="002456B6"/>
    <w:rsid w:val="002878CA"/>
    <w:rsid w:val="00294F4A"/>
    <w:rsid w:val="002A78CB"/>
    <w:rsid w:val="002C4F34"/>
    <w:rsid w:val="00342FFF"/>
    <w:rsid w:val="00363EC4"/>
    <w:rsid w:val="003B218E"/>
    <w:rsid w:val="003C381C"/>
    <w:rsid w:val="003D1CE6"/>
    <w:rsid w:val="003D67EE"/>
    <w:rsid w:val="003F23AA"/>
    <w:rsid w:val="003F391E"/>
    <w:rsid w:val="004074FB"/>
    <w:rsid w:val="0041636E"/>
    <w:rsid w:val="00430AE0"/>
    <w:rsid w:val="00463BE3"/>
    <w:rsid w:val="00475655"/>
    <w:rsid w:val="004804EA"/>
    <w:rsid w:val="004A7C2D"/>
    <w:rsid w:val="004C4DB8"/>
    <w:rsid w:val="004F06EC"/>
    <w:rsid w:val="004F59A4"/>
    <w:rsid w:val="004F5E12"/>
    <w:rsid w:val="00501FAE"/>
    <w:rsid w:val="0050495E"/>
    <w:rsid w:val="00526DF0"/>
    <w:rsid w:val="0053615E"/>
    <w:rsid w:val="00543AE7"/>
    <w:rsid w:val="00546C5D"/>
    <w:rsid w:val="00561687"/>
    <w:rsid w:val="00571AD9"/>
    <w:rsid w:val="00577517"/>
    <w:rsid w:val="005A3729"/>
    <w:rsid w:val="005B1BD0"/>
    <w:rsid w:val="005B6A41"/>
    <w:rsid w:val="005C416A"/>
    <w:rsid w:val="005D398E"/>
    <w:rsid w:val="005D4025"/>
    <w:rsid w:val="005D7237"/>
    <w:rsid w:val="005F1465"/>
    <w:rsid w:val="006435BF"/>
    <w:rsid w:val="00644318"/>
    <w:rsid w:val="006444A9"/>
    <w:rsid w:val="006461F7"/>
    <w:rsid w:val="0068663D"/>
    <w:rsid w:val="006A2959"/>
    <w:rsid w:val="006B435F"/>
    <w:rsid w:val="006B5EC1"/>
    <w:rsid w:val="006D278D"/>
    <w:rsid w:val="006D3328"/>
    <w:rsid w:val="006D4B1C"/>
    <w:rsid w:val="00717EFF"/>
    <w:rsid w:val="007207BC"/>
    <w:rsid w:val="00730BAB"/>
    <w:rsid w:val="00731DC0"/>
    <w:rsid w:val="00735260"/>
    <w:rsid w:val="00746B39"/>
    <w:rsid w:val="0074756E"/>
    <w:rsid w:val="00777692"/>
    <w:rsid w:val="007B3FBC"/>
    <w:rsid w:val="007C3C02"/>
    <w:rsid w:val="007C5AC9"/>
    <w:rsid w:val="007D5CAF"/>
    <w:rsid w:val="007E00A3"/>
    <w:rsid w:val="0081061E"/>
    <w:rsid w:val="00831304"/>
    <w:rsid w:val="0085018D"/>
    <w:rsid w:val="00860B00"/>
    <w:rsid w:val="0086334D"/>
    <w:rsid w:val="008E0286"/>
    <w:rsid w:val="008F5014"/>
    <w:rsid w:val="00902379"/>
    <w:rsid w:val="009166B1"/>
    <w:rsid w:val="009253E8"/>
    <w:rsid w:val="00925929"/>
    <w:rsid w:val="0093048C"/>
    <w:rsid w:val="009361C7"/>
    <w:rsid w:val="009460FE"/>
    <w:rsid w:val="00946E4B"/>
    <w:rsid w:val="00953E6C"/>
    <w:rsid w:val="009549F2"/>
    <w:rsid w:val="00960443"/>
    <w:rsid w:val="00965C66"/>
    <w:rsid w:val="00970E80"/>
    <w:rsid w:val="009733B9"/>
    <w:rsid w:val="00982CC4"/>
    <w:rsid w:val="009B2D98"/>
    <w:rsid w:val="009B3CFA"/>
    <w:rsid w:val="009D0970"/>
    <w:rsid w:val="009D7911"/>
    <w:rsid w:val="009F005E"/>
    <w:rsid w:val="009F09E5"/>
    <w:rsid w:val="00A01ADE"/>
    <w:rsid w:val="00A315A6"/>
    <w:rsid w:val="00A4588C"/>
    <w:rsid w:val="00A55847"/>
    <w:rsid w:val="00A71BEC"/>
    <w:rsid w:val="00AA0C53"/>
    <w:rsid w:val="00AB1FC0"/>
    <w:rsid w:val="00AB29CC"/>
    <w:rsid w:val="00AB52F1"/>
    <w:rsid w:val="00AC065B"/>
    <w:rsid w:val="00AE20BA"/>
    <w:rsid w:val="00AE55A7"/>
    <w:rsid w:val="00AE62C5"/>
    <w:rsid w:val="00AE749A"/>
    <w:rsid w:val="00B1087A"/>
    <w:rsid w:val="00B10B5D"/>
    <w:rsid w:val="00B11537"/>
    <w:rsid w:val="00B169A1"/>
    <w:rsid w:val="00B25DAC"/>
    <w:rsid w:val="00B370B5"/>
    <w:rsid w:val="00B3748B"/>
    <w:rsid w:val="00B43C7B"/>
    <w:rsid w:val="00B77745"/>
    <w:rsid w:val="00B85066"/>
    <w:rsid w:val="00B91B06"/>
    <w:rsid w:val="00B938ED"/>
    <w:rsid w:val="00BD4D46"/>
    <w:rsid w:val="00BE6227"/>
    <w:rsid w:val="00BF3D8C"/>
    <w:rsid w:val="00C1759B"/>
    <w:rsid w:val="00C22D62"/>
    <w:rsid w:val="00C27EF1"/>
    <w:rsid w:val="00C30852"/>
    <w:rsid w:val="00C56064"/>
    <w:rsid w:val="00C93DB2"/>
    <w:rsid w:val="00CC03D4"/>
    <w:rsid w:val="00CC08EE"/>
    <w:rsid w:val="00CC1BA2"/>
    <w:rsid w:val="00CE780A"/>
    <w:rsid w:val="00CF53C4"/>
    <w:rsid w:val="00D12FF9"/>
    <w:rsid w:val="00D17002"/>
    <w:rsid w:val="00D36F6F"/>
    <w:rsid w:val="00D41F5A"/>
    <w:rsid w:val="00D73E5A"/>
    <w:rsid w:val="00D76CFF"/>
    <w:rsid w:val="00D80A14"/>
    <w:rsid w:val="00D8102F"/>
    <w:rsid w:val="00DA2A25"/>
    <w:rsid w:val="00DD10B1"/>
    <w:rsid w:val="00DE20CB"/>
    <w:rsid w:val="00DE710E"/>
    <w:rsid w:val="00DF0C7E"/>
    <w:rsid w:val="00DF3B6A"/>
    <w:rsid w:val="00E16B5B"/>
    <w:rsid w:val="00E16EAC"/>
    <w:rsid w:val="00E17852"/>
    <w:rsid w:val="00E26D6D"/>
    <w:rsid w:val="00E6018C"/>
    <w:rsid w:val="00E6668F"/>
    <w:rsid w:val="00E70685"/>
    <w:rsid w:val="00E822EF"/>
    <w:rsid w:val="00EB4B69"/>
    <w:rsid w:val="00EB7E74"/>
    <w:rsid w:val="00EC6371"/>
    <w:rsid w:val="00EE28BB"/>
    <w:rsid w:val="00EF1CFB"/>
    <w:rsid w:val="00F24034"/>
    <w:rsid w:val="00F279C1"/>
    <w:rsid w:val="00F4135F"/>
    <w:rsid w:val="00F50E98"/>
    <w:rsid w:val="00F6447C"/>
    <w:rsid w:val="00F671F4"/>
    <w:rsid w:val="00F94D82"/>
    <w:rsid w:val="00F97841"/>
    <w:rsid w:val="00FA6CD2"/>
    <w:rsid w:val="00FB31D1"/>
    <w:rsid w:val="00FC0E66"/>
    <w:rsid w:val="00FD5C94"/>
    <w:rsid w:val="00FE1398"/>
    <w:rsid w:val="00FE3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59D9CE"/>
  <w15:chartTrackingRefBased/>
  <w15:docId w15:val="{B6D450A4-EF21-4C7F-8015-10106227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6D"/>
  </w:style>
  <w:style w:type="paragraph" w:styleId="Heading2">
    <w:name w:val="heading 2"/>
    <w:basedOn w:val="Normal"/>
    <w:next w:val="Normal"/>
    <w:link w:val="Heading2Char"/>
    <w:uiPriority w:val="9"/>
    <w:semiHidden/>
    <w:unhideWhenUsed/>
    <w:qFormat/>
    <w:rsid w:val="00AE55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GPartHeading">
    <w:name w:val="ADG Part Heading"/>
    <w:qFormat/>
    <w:rsid w:val="00AE55A7"/>
    <w:rPr>
      <w:rFonts w:ascii="Arial" w:eastAsiaTheme="minorEastAsia" w:hAnsi="Arial"/>
      <w:b/>
      <w:spacing w:val="15"/>
      <w:sz w:val="48"/>
    </w:rPr>
  </w:style>
  <w:style w:type="paragraph" w:customStyle="1" w:styleId="ADGChapterHeading">
    <w:name w:val="ADG Chapter Heading"/>
    <w:basedOn w:val="Normal"/>
    <w:next w:val="Normal"/>
    <w:qFormat/>
    <w:rsid w:val="00AE55A7"/>
    <w:pPr>
      <w:keepNext/>
      <w:keepLines/>
      <w:spacing w:before="480" w:after="0" w:line="240" w:lineRule="auto"/>
      <w:ind w:left="1440" w:hanging="1440"/>
      <w:outlineLvl w:val="0"/>
    </w:pPr>
    <w:rPr>
      <w:rFonts w:ascii="Arial" w:eastAsia="Times New Roman" w:hAnsi="Arial" w:cs="Times New Roman"/>
      <w:b/>
      <w:bCs/>
      <w:sz w:val="28"/>
      <w:szCs w:val="28"/>
    </w:rPr>
  </w:style>
  <w:style w:type="paragraph" w:customStyle="1" w:styleId="ADGHeading2">
    <w:name w:val="ADG Heading 2"/>
    <w:basedOn w:val="Heading2"/>
    <w:qFormat/>
    <w:rsid w:val="00AE55A7"/>
    <w:pPr>
      <w:tabs>
        <w:tab w:val="left" w:pos="1418"/>
      </w:tabs>
      <w:spacing w:before="200" w:line="240" w:lineRule="auto"/>
      <w:ind w:left="1418" w:hanging="1418"/>
    </w:pPr>
    <w:rPr>
      <w:rFonts w:ascii="Arial" w:hAnsi="Arial"/>
      <w:b/>
      <w:bCs/>
      <w:color w:val="auto"/>
      <w:sz w:val="24"/>
    </w:rPr>
  </w:style>
  <w:style w:type="character" w:customStyle="1" w:styleId="Heading2Char">
    <w:name w:val="Heading 2 Char"/>
    <w:basedOn w:val="DefaultParagraphFont"/>
    <w:link w:val="Heading2"/>
    <w:uiPriority w:val="9"/>
    <w:semiHidden/>
    <w:rsid w:val="00AE55A7"/>
    <w:rPr>
      <w:rFonts w:asciiTheme="majorHAnsi" w:eastAsiaTheme="majorEastAsia" w:hAnsiTheme="majorHAnsi" w:cstheme="majorBidi"/>
      <w:color w:val="2F5496" w:themeColor="accent1" w:themeShade="BF"/>
      <w:sz w:val="26"/>
      <w:szCs w:val="26"/>
    </w:rPr>
  </w:style>
  <w:style w:type="paragraph" w:customStyle="1" w:styleId="ADGLevel3">
    <w:name w:val="ADG Level 3"/>
    <w:basedOn w:val="Normal"/>
    <w:next w:val="Normal"/>
    <w:qFormat/>
    <w:rsid w:val="00AE55A7"/>
    <w:pPr>
      <w:spacing w:before="200" w:after="120" w:line="240" w:lineRule="auto"/>
      <w:ind w:left="1418" w:hanging="1418"/>
      <w:jc w:val="both"/>
    </w:pPr>
    <w:rPr>
      <w:rFonts w:ascii="Arial" w:eastAsia="Times New Roman" w:hAnsi="Arial" w:cs="Times New Roman"/>
      <w:szCs w:val="20"/>
    </w:rPr>
  </w:style>
  <w:style w:type="paragraph" w:customStyle="1" w:styleId="ADGLevel4">
    <w:name w:val="ADG Level 4"/>
    <w:next w:val="Normal"/>
    <w:qFormat/>
    <w:rsid w:val="00AE55A7"/>
    <w:rPr>
      <w:rFonts w:ascii="Arial" w:eastAsia="Times New Roman" w:hAnsi="Arial" w:cs="Times New Roman"/>
      <w:szCs w:val="20"/>
    </w:rPr>
  </w:style>
  <w:style w:type="paragraph" w:customStyle="1" w:styleId="ADGNote">
    <w:name w:val="ADG Note"/>
    <w:basedOn w:val="Normal"/>
    <w:qFormat/>
    <w:rsid w:val="00AE55A7"/>
    <w:pPr>
      <w:spacing w:before="200" w:after="120" w:line="240" w:lineRule="auto"/>
      <w:ind w:left="1418" w:hanging="1418"/>
      <w:jc w:val="both"/>
    </w:pPr>
    <w:rPr>
      <w:rFonts w:ascii="Arial" w:eastAsia="Times New Roman" w:hAnsi="Arial" w:cs="Times New Roman"/>
      <w:b/>
      <w:szCs w:val="20"/>
    </w:rPr>
  </w:style>
  <w:style w:type="paragraph" w:customStyle="1" w:styleId="ADGLevel5">
    <w:name w:val="ADG Level 5"/>
    <w:basedOn w:val="Normal"/>
    <w:qFormat/>
    <w:rsid w:val="00AE55A7"/>
    <w:pPr>
      <w:spacing w:before="200" w:after="120" w:line="240" w:lineRule="auto"/>
      <w:ind w:left="1418" w:hanging="1418"/>
      <w:jc w:val="both"/>
    </w:pPr>
    <w:rPr>
      <w:rFonts w:ascii="Arial" w:eastAsia="Times New Roman" w:hAnsi="Arial" w:cs="Times New Roman"/>
      <w:szCs w:val="20"/>
    </w:rPr>
  </w:style>
  <w:style w:type="paragraph" w:customStyle="1" w:styleId="ADGTableHeading">
    <w:name w:val="ADG Table Heading"/>
    <w:basedOn w:val="Normal"/>
    <w:next w:val="Normal"/>
    <w:qFormat/>
    <w:rsid w:val="00AE55A7"/>
    <w:pPr>
      <w:shd w:val="clear" w:color="auto" w:fill="FFFFFF"/>
      <w:spacing w:before="60" w:after="60" w:line="240" w:lineRule="auto"/>
      <w:ind w:left="1418" w:hanging="1418"/>
    </w:pPr>
    <w:rPr>
      <w:rFonts w:ascii="Arial" w:eastAsia="Times New Roman" w:hAnsi="Arial" w:cs="Times New Roman"/>
      <w:b/>
      <w:szCs w:val="20"/>
    </w:rPr>
  </w:style>
  <w:style w:type="paragraph" w:styleId="ListParagraph">
    <w:name w:val="List Paragraph"/>
    <w:basedOn w:val="Normal"/>
    <w:uiPriority w:val="34"/>
    <w:qFormat/>
    <w:rsid w:val="009D7911"/>
    <w:pPr>
      <w:ind w:left="720"/>
      <w:contextualSpacing/>
    </w:pPr>
  </w:style>
  <w:style w:type="paragraph" w:styleId="Header">
    <w:name w:val="header"/>
    <w:basedOn w:val="Normal"/>
    <w:link w:val="HeaderChar"/>
    <w:uiPriority w:val="99"/>
    <w:unhideWhenUsed/>
    <w:rsid w:val="00946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E4B"/>
  </w:style>
  <w:style w:type="paragraph" w:styleId="Footer">
    <w:name w:val="footer"/>
    <w:basedOn w:val="Normal"/>
    <w:link w:val="FooterChar"/>
    <w:uiPriority w:val="99"/>
    <w:unhideWhenUsed/>
    <w:rsid w:val="00946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E4B"/>
  </w:style>
  <w:style w:type="table" w:styleId="TableGrid">
    <w:name w:val="Table Grid"/>
    <w:basedOn w:val="TableNormal"/>
    <w:uiPriority w:val="59"/>
    <w:rsid w:val="00946E4B"/>
    <w:pPr>
      <w:spacing w:after="0" w:line="240" w:lineRule="auto"/>
    </w:pPr>
    <w:rPr>
      <w:rFonts w:ascii="Arial" w:eastAsia="Arial" w:hAnsi="Arial" w:cs="Times New Roman"/>
      <w:sz w:val="20"/>
      <w:szCs w:val="20"/>
    </w:rPr>
    <w:tblPr>
      <w:tblBorders>
        <w:insideH w:val="single" w:sz="4" w:space="0" w:color="7F7F7F"/>
        <w:insideV w:val="single" w:sz="4" w:space="0" w:color="7F7F7F"/>
      </w:tblBorders>
      <w:tblCellMar>
        <w:bottom w:w="85" w:type="dxa"/>
      </w:tblCellMar>
    </w:tblPr>
    <w:tcPr>
      <w:shd w:val="clear" w:color="auto" w:fill="auto"/>
    </w:tcPr>
    <w:tblStylePr w:type="firstRow">
      <w:tblPr/>
      <w:tcPr>
        <w:shd w:val="clear" w:color="auto" w:fill="E5E5E5"/>
      </w:tcPr>
    </w:tblStylePr>
  </w:style>
  <w:style w:type="paragraph" w:styleId="BalloonText">
    <w:name w:val="Balloon Text"/>
    <w:basedOn w:val="Normal"/>
    <w:link w:val="BalloonTextChar"/>
    <w:uiPriority w:val="99"/>
    <w:semiHidden/>
    <w:unhideWhenUsed/>
    <w:rsid w:val="00946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E4B"/>
    <w:rPr>
      <w:rFonts w:ascii="Segoe UI" w:hAnsi="Segoe UI" w:cs="Segoe UI"/>
      <w:sz w:val="18"/>
      <w:szCs w:val="18"/>
    </w:rPr>
  </w:style>
  <w:style w:type="table" w:customStyle="1" w:styleId="TableGrid1">
    <w:name w:val="Table Grid1"/>
    <w:basedOn w:val="TableNormal"/>
    <w:next w:val="TableGrid"/>
    <w:uiPriority w:val="39"/>
    <w:rsid w:val="0064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668F"/>
    <w:rPr>
      <w:color w:val="0563C1" w:themeColor="hyperlink"/>
      <w:u w:val="single"/>
    </w:rPr>
  </w:style>
  <w:style w:type="character" w:styleId="UnresolvedMention">
    <w:name w:val="Unresolved Mention"/>
    <w:basedOn w:val="DefaultParagraphFont"/>
    <w:uiPriority w:val="99"/>
    <w:semiHidden/>
    <w:unhideWhenUsed/>
    <w:rsid w:val="00E6668F"/>
    <w:rPr>
      <w:color w:val="605E5C"/>
      <w:shd w:val="clear" w:color="auto" w:fill="E1DFDD"/>
    </w:rPr>
  </w:style>
  <w:style w:type="paragraph" w:styleId="FootnoteText">
    <w:name w:val="footnote text"/>
    <w:basedOn w:val="Normal"/>
    <w:link w:val="FootnoteTextChar1"/>
    <w:uiPriority w:val="99"/>
    <w:semiHidden/>
    <w:unhideWhenUsed/>
    <w:rsid w:val="00CC03D4"/>
    <w:pPr>
      <w:spacing w:after="0" w:line="240" w:lineRule="auto"/>
    </w:pPr>
    <w:rPr>
      <w:rFonts w:ascii="Calibri" w:hAnsi="Calibri" w:cs="Times New Roman"/>
      <w:sz w:val="20"/>
      <w:szCs w:val="20"/>
    </w:rPr>
  </w:style>
  <w:style w:type="character" w:customStyle="1" w:styleId="FootnoteTextChar">
    <w:name w:val="Footnote Text Char"/>
    <w:basedOn w:val="DefaultParagraphFont"/>
    <w:uiPriority w:val="99"/>
    <w:semiHidden/>
    <w:rsid w:val="00CC03D4"/>
    <w:rPr>
      <w:sz w:val="20"/>
      <w:szCs w:val="20"/>
    </w:rPr>
  </w:style>
  <w:style w:type="character" w:customStyle="1" w:styleId="FootnoteTextChar1">
    <w:name w:val="Footnote Text Char1"/>
    <w:basedOn w:val="DefaultParagraphFont"/>
    <w:link w:val="FootnoteText"/>
    <w:uiPriority w:val="99"/>
    <w:semiHidden/>
    <w:rsid w:val="00CC03D4"/>
    <w:rPr>
      <w:rFonts w:ascii="Calibri" w:hAnsi="Calibri" w:cs="Times New Roman"/>
      <w:sz w:val="20"/>
      <w:szCs w:val="20"/>
    </w:rPr>
  </w:style>
  <w:style w:type="character" w:styleId="FootnoteReference">
    <w:name w:val="footnote reference"/>
    <w:aliases w:val="4_G,Footnote Reference/"/>
    <w:basedOn w:val="DefaultParagraphFont"/>
    <w:uiPriority w:val="99"/>
    <w:unhideWhenUsed/>
    <w:rsid w:val="00CC03D4"/>
    <w:rPr>
      <w:b/>
      <w:color w:val="auto"/>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218893">
      <w:bodyDiv w:val="1"/>
      <w:marLeft w:val="0"/>
      <w:marRight w:val="0"/>
      <w:marTop w:val="0"/>
      <w:marBottom w:val="0"/>
      <w:divBdr>
        <w:top w:val="none" w:sz="0" w:space="0" w:color="auto"/>
        <w:left w:val="none" w:sz="0" w:space="0" w:color="auto"/>
        <w:bottom w:val="none" w:sz="0" w:space="0" w:color="auto"/>
        <w:right w:val="none" w:sz="0" w:space="0" w:color="auto"/>
      </w:divBdr>
    </w:div>
    <w:div w:id="11374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4D7A9D441EBB49B7B976F74AF7F6F6" ma:contentTypeVersion="12" ma:contentTypeDescription="Create a new document." ma:contentTypeScope="" ma:versionID="22b94623211d175d082347034ef5ccfc">
  <xsd:schema xmlns:xsd="http://www.w3.org/2001/XMLSchema" xmlns:xs="http://www.w3.org/2001/XMLSchema" xmlns:p="http://schemas.microsoft.com/office/2006/metadata/properties" xmlns:ns3="39b2e756-9c61-437f-92c0-8d0c6e252efe" xmlns:ns4="5c70c338-c527-4569-924a-91497ac82862" targetNamespace="http://schemas.microsoft.com/office/2006/metadata/properties" ma:root="true" ma:fieldsID="2cd6a242d2c1d8703b7cfe23a67d970f" ns3:_="" ns4:_="">
    <xsd:import namespace="39b2e756-9c61-437f-92c0-8d0c6e252efe"/>
    <xsd:import namespace="5c70c338-c527-4569-924a-91497ac828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e756-9c61-437f-92c0-8d0c6e252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70c338-c527-4569-924a-91497ac828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D4168-39C2-4872-A87A-B4AA4D1D3CCC}">
  <ds:schemaRefs>
    <ds:schemaRef ds:uri="http://schemas.openxmlformats.org/officeDocument/2006/bibliography"/>
  </ds:schemaRefs>
</ds:datastoreItem>
</file>

<file path=customXml/itemProps2.xml><?xml version="1.0" encoding="utf-8"?>
<ds:datastoreItem xmlns:ds="http://schemas.openxmlformats.org/officeDocument/2006/customXml" ds:itemID="{C9DAA347-D837-4FE7-B096-F681A0F7BB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1A477-C4E5-42D9-AE1B-ED3CB9CB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e756-9c61-437f-92c0-8d0c6e252efe"/>
    <ds:schemaRef ds:uri="5c70c338-c527-4569-924a-91497ac82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318BE-A0B9-4254-81F5-32986CAD0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8</Pages>
  <Words>2828</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Kirk</dc:creator>
  <cp:keywords/>
  <dc:description/>
  <cp:lastModifiedBy>Debra Kirk</cp:lastModifiedBy>
  <cp:revision>14</cp:revision>
  <cp:lastPrinted>2019-10-29T01:43:00Z</cp:lastPrinted>
  <dcterms:created xsi:type="dcterms:W3CDTF">2021-08-17T06:52:00Z</dcterms:created>
  <dcterms:modified xsi:type="dcterms:W3CDTF">2021-09-01T06:10:00Z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0x0101004C4D7A9D441EBB49B7B976F74AF7F6F6</vt:lpwstr>
  </property>
</Properties>
</file>